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11A4A">
      <w:pPr>
        <w:pStyle w:val="5"/>
        <w:shd w:val="clear" w:color="auto" w:fill="FFFFFF"/>
        <w:spacing w:before="0" w:beforeAutospacing="0" w:after="0" w:afterAutospacing="0" w:line="360" w:lineRule="auto"/>
        <w:jc w:val="center"/>
        <w:rPr>
          <w:rStyle w:val="11"/>
          <w:rFonts w:hint="eastAsia" w:ascii="方正粗黑宋简体" w:hAnsi="方正粗黑宋简体" w:eastAsia="方正粗黑宋简体" w:cs="方正粗黑宋简体"/>
          <w:color w:val="000000"/>
          <w:sz w:val="44"/>
          <w:szCs w:val="32"/>
        </w:rPr>
      </w:pPr>
      <w:r>
        <w:rPr>
          <w:rStyle w:val="11"/>
          <w:rFonts w:hint="eastAsia" w:ascii="方正粗黑宋简体" w:hAnsi="方正粗黑宋简体" w:eastAsia="方正粗黑宋简体" w:cs="方正粗黑宋简体"/>
          <w:color w:val="000000"/>
          <w:sz w:val="44"/>
          <w:szCs w:val="32"/>
        </w:rPr>
        <w:t>中国人民大学社会学院</w:t>
      </w:r>
    </w:p>
    <w:p w14:paraId="1E03C212">
      <w:pPr>
        <w:pStyle w:val="5"/>
        <w:shd w:val="clear" w:color="auto" w:fill="FFFFFF"/>
        <w:spacing w:before="0" w:beforeAutospacing="0" w:after="0" w:afterAutospacing="0" w:line="360" w:lineRule="auto"/>
        <w:jc w:val="center"/>
        <w:rPr>
          <w:rStyle w:val="11"/>
          <w:rFonts w:hint="eastAsia" w:ascii="方正粗黑宋简体" w:hAnsi="方正粗黑宋简体" w:eastAsia="方正粗黑宋简体" w:cs="方正粗黑宋简体"/>
          <w:color w:val="000000"/>
          <w:sz w:val="44"/>
          <w:szCs w:val="32"/>
        </w:rPr>
      </w:pPr>
      <w:r>
        <w:rPr>
          <w:rStyle w:val="11"/>
          <w:rFonts w:hint="eastAsia" w:ascii="方正粗黑宋简体" w:hAnsi="方正粗黑宋简体" w:eastAsia="方正粗黑宋简体" w:cs="方正粗黑宋简体"/>
          <w:color w:val="000000"/>
          <w:sz w:val="44"/>
          <w:szCs w:val="32"/>
        </w:rPr>
        <w:t>“航笙优才培养计划”管理</w:t>
      </w:r>
      <w:r>
        <w:rPr>
          <w:rStyle w:val="11"/>
          <w:rFonts w:hint="eastAsia" w:ascii="方正粗黑宋简体" w:hAnsi="方正粗黑宋简体" w:eastAsia="方正粗黑宋简体" w:cs="方正粗黑宋简体"/>
          <w:b/>
          <w:bCs/>
          <w:color w:val="000000"/>
          <w:sz w:val="44"/>
          <w:szCs w:val="32"/>
        </w:rPr>
        <w:t>办法</w:t>
      </w:r>
      <w:r>
        <w:rPr>
          <w:rStyle w:val="11"/>
          <w:rFonts w:hint="eastAsia" w:ascii="方正粗黑宋简体" w:hAnsi="方正粗黑宋简体" w:eastAsia="方正粗黑宋简体" w:cs="方正粗黑宋简体"/>
          <w:color w:val="000000"/>
          <w:sz w:val="44"/>
          <w:szCs w:val="32"/>
        </w:rPr>
        <w:t>（试行）</w:t>
      </w:r>
    </w:p>
    <w:p w14:paraId="24EB1612">
      <w:pPr>
        <w:pStyle w:val="5"/>
        <w:shd w:val="clear" w:color="auto" w:fill="FFFFFF"/>
        <w:spacing w:before="0" w:beforeAutospacing="0" w:after="0" w:afterAutospacing="0" w:line="360" w:lineRule="auto"/>
        <w:ind w:firstLine="640" w:firstLineChars="200"/>
        <w:jc w:val="center"/>
        <w:rPr>
          <w:rFonts w:ascii="仿宋" w:hAnsi="仿宋" w:eastAsia="仿宋"/>
          <w:sz w:val="32"/>
        </w:rPr>
      </w:pPr>
      <w:r>
        <w:rPr>
          <w:rFonts w:hint="eastAsia" w:ascii="仿宋" w:hAnsi="仿宋" w:eastAsia="仿宋"/>
          <w:sz w:val="32"/>
        </w:rPr>
        <w:t>（2025年10月修订版</w:t>
      </w:r>
      <w:r>
        <w:rPr>
          <w:rFonts w:hint="eastAsia" w:ascii="微软雅黑" w:hAnsi="微软雅黑" w:eastAsia="微软雅黑" w:cs="微软雅黑"/>
          <w:sz w:val="32"/>
        </w:rPr>
        <w:t>·</w:t>
      </w:r>
      <w:r>
        <w:rPr>
          <w:rFonts w:hint="eastAsia" w:ascii="仿宋" w:hAnsi="仿宋" w:eastAsia="仿宋"/>
          <w:sz w:val="32"/>
        </w:rPr>
        <w:t>审议稿）</w:t>
      </w:r>
    </w:p>
    <w:p w14:paraId="28B08717">
      <w:pPr>
        <w:pStyle w:val="5"/>
        <w:shd w:val="clear" w:color="auto" w:fill="FFFFFF"/>
        <w:spacing w:before="0" w:beforeAutospacing="0" w:after="0" w:afterAutospacing="0" w:line="360" w:lineRule="auto"/>
        <w:ind w:firstLine="640" w:firstLineChars="200"/>
        <w:rPr>
          <w:rFonts w:ascii="仿宋" w:hAnsi="仿宋" w:eastAsia="仿宋"/>
          <w:sz w:val="32"/>
        </w:rPr>
      </w:pPr>
    </w:p>
    <w:p w14:paraId="0A0E0D9D">
      <w:pPr>
        <w:pStyle w:val="5"/>
        <w:shd w:val="clear" w:color="auto" w:fill="FFFFFF"/>
        <w:spacing w:before="156" w:beforeLines="50" w:beforeAutospacing="0" w:after="156" w:afterLines="50" w:afterAutospacing="0" w:line="360" w:lineRule="auto"/>
        <w:ind w:firstLine="720" w:firstLineChars="200"/>
        <w:jc w:val="center"/>
        <w:rPr>
          <w:rFonts w:ascii="黑体" w:hAnsi="黑体" w:eastAsia="黑体" w:cs="黑体"/>
          <w:sz w:val="36"/>
          <w:szCs w:val="36"/>
        </w:rPr>
      </w:pPr>
      <w:r>
        <w:rPr>
          <w:rFonts w:hint="eastAsia" w:ascii="黑体" w:hAnsi="黑体" w:eastAsia="黑体" w:cs="黑体"/>
          <w:sz w:val="36"/>
          <w:szCs w:val="36"/>
        </w:rPr>
        <w:t>第一章 总则</w:t>
      </w:r>
    </w:p>
    <w:p w14:paraId="4EB019E9">
      <w:pPr>
        <w:pStyle w:val="5"/>
        <w:shd w:val="clear" w:color="auto" w:fill="FFFFFF"/>
        <w:spacing w:before="0" w:beforeAutospacing="0" w:after="0" w:afterAutospacing="0" w:line="360" w:lineRule="auto"/>
        <w:ind w:firstLine="643" w:firstLineChars="200"/>
        <w:rPr>
          <w:rFonts w:ascii="仿宋" w:hAnsi="仿宋" w:eastAsia="仿宋"/>
          <w:sz w:val="32"/>
          <w:szCs w:val="32"/>
        </w:rPr>
      </w:pPr>
      <w:r>
        <w:rPr>
          <w:rFonts w:hint="eastAsia" w:ascii="楷体" w:hAnsi="楷体" w:eastAsia="楷体" w:cs="楷体"/>
          <w:b/>
          <w:bCs/>
          <w:sz w:val="32"/>
          <w:szCs w:val="32"/>
        </w:rPr>
        <w:t>第一条</w:t>
      </w:r>
      <w:r>
        <w:rPr>
          <w:rFonts w:hint="eastAsia" w:ascii="仿宋" w:hAnsi="仿宋" w:eastAsia="仿宋"/>
          <w:sz w:val="32"/>
          <w:szCs w:val="32"/>
        </w:rPr>
        <w:t xml:space="preserve"> 为持续深化贯彻习近平总书记在学校考察调研时重要讲话精神，扎实落实学校第十五次党代会各项任务部署，提升人才培养的国际化水平，培育具有国际视野与家国情怀的一流社会学人才，依据《中国人民大学面向2037建校百年国际性战略行动计划》等文件，结合学院实际，制定本办法。</w:t>
      </w:r>
    </w:p>
    <w:p w14:paraId="3A977A95">
      <w:pPr>
        <w:pStyle w:val="5"/>
        <w:shd w:val="clear" w:color="auto" w:fill="FFFFFF"/>
        <w:spacing w:before="0" w:beforeAutospacing="0" w:after="0" w:afterAutospacing="0" w:line="360" w:lineRule="auto"/>
        <w:ind w:firstLine="643" w:firstLineChars="200"/>
        <w:rPr>
          <w:rFonts w:ascii="仿宋" w:hAnsi="仿宋" w:eastAsia="仿宋"/>
          <w:sz w:val="32"/>
          <w:szCs w:val="32"/>
        </w:rPr>
      </w:pPr>
      <w:r>
        <w:rPr>
          <w:rFonts w:hint="eastAsia" w:ascii="楷体" w:hAnsi="楷体" w:eastAsia="楷体" w:cs="楷体"/>
          <w:b/>
          <w:bCs/>
          <w:sz w:val="32"/>
          <w:szCs w:val="32"/>
        </w:rPr>
        <w:t>第二条</w:t>
      </w:r>
      <w:r>
        <w:rPr>
          <w:rFonts w:hint="eastAsia" w:ascii="仿宋" w:hAnsi="仿宋" w:eastAsia="仿宋"/>
          <w:sz w:val="32"/>
          <w:szCs w:val="32"/>
        </w:rPr>
        <w:t xml:space="preserve"> </w:t>
      </w:r>
      <w:r>
        <w:rPr>
          <w:rStyle w:val="10"/>
          <w:rFonts w:hint="eastAsia" w:ascii="仿宋" w:hAnsi="仿宋" w:eastAsia="仿宋" w:cs="方正粗黑宋简体"/>
          <w:color w:val="000000"/>
          <w:sz w:val="32"/>
          <w:szCs w:val="32"/>
        </w:rPr>
        <w:t>“</w:t>
      </w:r>
      <w:r>
        <w:rPr>
          <w:rStyle w:val="10"/>
          <w:rFonts w:hint="eastAsia" w:ascii="仿宋" w:hAnsi="仿宋" w:eastAsia="仿宋" w:cs="方正粗黑宋简体"/>
          <w:b/>
          <w:bCs/>
          <w:color w:val="000000"/>
          <w:sz w:val="32"/>
          <w:szCs w:val="32"/>
        </w:rPr>
        <w:t>航笙优才培养计划</w:t>
      </w:r>
      <w:r>
        <w:rPr>
          <w:rStyle w:val="10"/>
          <w:rFonts w:hint="eastAsia" w:ascii="仿宋" w:hAnsi="仿宋" w:eastAsia="仿宋" w:cs="方正粗黑宋简体"/>
          <w:color w:val="000000"/>
          <w:sz w:val="32"/>
          <w:szCs w:val="32"/>
        </w:rPr>
        <w:t>”</w:t>
      </w:r>
      <w:r>
        <w:rPr>
          <w:rFonts w:hint="eastAsia" w:ascii="仿宋" w:hAnsi="仿宋" w:eastAsia="仿宋"/>
          <w:sz w:val="32"/>
        </w:rPr>
        <w:t>（以下简称“计划”）</w:t>
      </w:r>
      <w:r>
        <w:rPr>
          <w:rFonts w:hint="eastAsia" w:ascii="仿宋" w:hAnsi="仿宋" w:eastAsia="仿宋"/>
          <w:sz w:val="32"/>
          <w:szCs w:val="32"/>
        </w:rPr>
        <w:t>资助的内容包括由学院组织实施的项目和由学生自主申报的项目。学院组织实施的项目由学院组织集中申报，学生自主申报的项目由学生以个人名义向学院提出申请。</w:t>
      </w:r>
    </w:p>
    <w:p w14:paraId="4BFFD039">
      <w:pPr>
        <w:pStyle w:val="5"/>
        <w:shd w:val="clear" w:color="auto" w:fill="FFFFFF"/>
        <w:spacing w:before="0" w:beforeAutospacing="0" w:after="0" w:afterAutospacing="0" w:line="360" w:lineRule="auto"/>
        <w:ind w:firstLine="643" w:firstLineChars="200"/>
        <w:rPr>
          <w:rFonts w:ascii="仿宋" w:hAnsi="仿宋" w:eastAsia="仿宋"/>
          <w:sz w:val="32"/>
          <w:szCs w:val="32"/>
        </w:rPr>
      </w:pPr>
      <w:r>
        <w:rPr>
          <w:rFonts w:hint="eastAsia" w:ascii="楷体" w:hAnsi="楷体" w:eastAsia="楷体" w:cs="楷体"/>
          <w:b/>
          <w:bCs/>
          <w:sz w:val="32"/>
          <w:szCs w:val="32"/>
        </w:rPr>
        <w:t>第三条</w:t>
      </w:r>
      <w:r>
        <w:rPr>
          <w:rFonts w:hint="eastAsia" w:ascii="仿宋" w:hAnsi="仿宋" w:eastAsia="仿宋"/>
          <w:sz w:val="32"/>
          <w:szCs w:val="32"/>
        </w:rPr>
        <w:t>学院每年度制定“航笙优才培养计划工作方案”，</w:t>
      </w:r>
      <w:r>
        <w:rPr>
          <w:rFonts w:ascii="仿宋" w:hAnsi="仿宋" w:eastAsia="仿宋" w:cs="宋体"/>
          <w:color w:val="auto"/>
          <w:sz w:val="32"/>
          <w:szCs w:val="32"/>
          <w:shd w:val="clear" w:color="auto" w:fill="auto"/>
        </w:rPr>
        <w:t>细化项目安排，其中所载条款</w:t>
      </w:r>
      <w:r>
        <w:rPr>
          <w:rFonts w:hint="eastAsia" w:ascii="仿宋" w:hAnsi="仿宋" w:eastAsia="仿宋"/>
          <w:sz w:val="32"/>
          <w:szCs w:val="32"/>
        </w:rPr>
        <w:t>同时作</w:t>
      </w:r>
      <w:r>
        <w:rPr>
          <w:rFonts w:ascii="仿宋" w:hAnsi="仿宋" w:eastAsia="仿宋" w:cs="宋体"/>
          <w:color w:val="auto"/>
          <w:sz w:val="32"/>
          <w:szCs w:val="32"/>
          <w:shd w:val="clear" w:color="auto" w:fill="auto"/>
        </w:rPr>
        <w:t>为项目资助的</w:t>
      </w:r>
      <w:r>
        <w:rPr>
          <w:rFonts w:hint="eastAsia" w:ascii="仿宋" w:hAnsi="仿宋" w:eastAsia="仿宋"/>
          <w:sz w:val="32"/>
          <w:szCs w:val="32"/>
        </w:rPr>
        <w:t>实施</w:t>
      </w:r>
      <w:r>
        <w:rPr>
          <w:rFonts w:ascii="仿宋" w:hAnsi="仿宋" w:eastAsia="仿宋" w:cs="宋体"/>
          <w:color w:val="auto"/>
          <w:sz w:val="32"/>
          <w:szCs w:val="32"/>
          <w:shd w:val="clear" w:color="auto" w:fill="auto"/>
        </w:rPr>
        <w:t>依据。</w:t>
      </w:r>
    </w:p>
    <w:p w14:paraId="6A736A3D">
      <w:pPr>
        <w:pStyle w:val="5"/>
        <w:numPr>
          <w:ilvl w:val="255"/>
          <w:numId w:val="0"/>
        </w:numPr>
        <w:shd w:val="clear" w:color="auto" w:fill="FFFFFF"/>
        <w:spacing w:before="0" w:beforeAutospacing="0" w:after="0" w:afterAutospacing="0" w:line="360" w:lineRule="auto"/>
        <w:ind w:firstLine="643" w:firstLineChars="200"/>
        <w:rPr>
          <w:rFonts w:ascii="仿宋" w:hAnsi="仿宋" w:eastAsia="仿宋"/>
          <w:sz w:val="32"/>
          <w:szCs w:val="32"/>
        </w:rPr>
      </w:pPr>
      <w:r>
        <w:rPr>
          <w:rFonts w:hint="eastAsia" w:ascii="楷体" w:hAnsi="楷体" w:eastAsia="楷体" w:cs="楷体"/>
          <w:b/>
          <w:bCs/>
          <w:sz w:val="32"/>
          <w:szCs w:val="32"/>
        </w:rPr>
        <w:t>第</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条</w:t>
      </w:r>
      <w:r>
        <w:rPr>
          <w:rFonts w:hint="eastAsia" w:ascii="仿宋" w:hAnsi="仿宋" w:eastAsia="仿宋"/>
          <w:sz w:val="32"/>
          <w:szCs w:val="32"/>
        </w:rPr>
        <w:t xml:space="preserve"> 申请人须同时满足以下基本条件：</w:t>
      </w:r>
    </w:p>
    <w:p w14:paraId="32D008A8">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我院</w:t>
      </w:r>
      <w:r>
        <w:rPr>
          <w:rFonts w:hint="eastAsia" w:ascii="仿宋" w:hAnsi="仿宋" w:eastAsia="仿宋"/>
          <w:sz w:val="32"/>
          <w:szCs w:val="32"/>
        </w:rPr>
        <w:t>正式注册的全日制在读学生；</w:t>
      </w:r>
    </w:p>
    <w:p w14:paraId="7CD1D0E4">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拥护中国共产党的领导，</w:t>
      </w:r>
      <w:r>
        <w:rPr>
          <w:rFonts w:hint="eastAsia" w:ascii="仿宋" w:hAnsi="仿宋" w:eastAsia="仿宋"/>
          <w:sz w:val="32"/>
          <w:szCs w:val="32"/>
        </w:rPr>
        <w:t>践行社会主义核心价值观，热爱祖国，热爱人民；</w:t>
      </w:r>
    </w:p>
    <w:p w14:paraId="5F55814D">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（三）遵纪守法，道德品质优良，</w:t>
      </w:r>
      <w:r>
        <w:rPr>
          <w:rFonts w:ascii="仿宋" w:hAnsi="仿宋" w:eastAsia="仿宋"/>
          <w:sz w:val="32"/>
          <w:szCs w:val="32"/>
        </w:rPr>
        <w:t>无学术不端行为</w:t>
      </w:r>
      <w:r>
        <w:rPr>
          <w:rFonts w:hint="eastAsia" w:ascii="仿宋" w:hAnsi="仿宋" w:eastAsia="仿宋"/>
          <w:sz w:val="32"/>
          <w:szCs w:val="32"/>
        </w:rPr>
        <w:t>；</w:t>
      </w:r>
    </w:p>
    <w:p w14:paraId="34CBF6A7">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（四）未在</w:t>
      </w:r>
      <w:r>
        <w:rPr>
          <w:rFonts w:ascii="仿宋" w:hAnsi="仿宋" w:eastAsia="仿宋"/>
          <w:sz w:val="32"/>
          <w:szCs w:val="32"/>
        </w:rPr>
        <w:t>违纪处分</w:t>
      </w:r>
      <w:r>
        <w:rPr>
          <w:rFonts w:hint="eastAsia" w:ascii="仿宋" w:hAnsi="仿宋" w:eastAsia="仿宋"/>
          <w:sz w:val="32"/>
          <w:szCs w:val="32"/>
        </w:rPr>
        <w:t>期内；</w:t>
      </w:r>
    </w:p>
    <w:p w14:paraId="55AD30E5">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（五）</w:t>
      </w:r>
      <w:r>
        <w:rPr>
          <w:rFonts w:ascii="Times New Roman" w:hAnsi="Times New Roman" w:eastAsia="仿宋"/>
          <w:sz w:val="32"/>
          <w:szCs w:val="32"/>
        </w:rPr>
        <w:t>身心健康，</w:t>
      </w:r>
      <w:r>
        <w:rPr>
          <w:rFonts w:hint="eastAsia" w:ascii="Times New Roman" w:hAnsi="Times New Roman" w:eastAsia="仿宋"/>
          <w:sz w:val="32"/>
          <w:szCs w:val="32"/>
        </w:rPr>
        <w:t>综合素质优良，</w:t>
      </w:r>
      <w:r>
        <w:rPr>
          <w:rFonts w:hint="eastAsia" w:ascii="仿宋" w:hAnsi="仿宋" w:eastAsia="仿宋"/>
          <w:sz w:val="32"/>
          <w:szCs w:val="32"/>
        </w:rPr>
        <w:t>具备较强的科研能力和外语交流能力；</w:t>
      </w:r>
    </w:p>
    <w:p w14:paraId="457E9B92">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（六）所申请项目没有获得其他</w:t>
      </w:r>
      <w:r>
        <w:rPr>
          <w:rFonts w:ascii="仿宋" w:hAnsi="仿宋" w:eastAsia="仿宋"/>
          <w:sz w:val="32"/>
          <w:szCs w:val="32"/>
        </w:rPr>
        <w:t>全额资助</w:t>
      </w:r>
      <w:r>
        <w:rPr>
          <w:rFonts w:hint="eastAsia" w:ascii="仿宋" w:hAnsi="仿宋" w:eastAsia="仿宋"/>
          <w:sz w:val="32"/>
          <w:szCs w:val="32"/>
        </w:rPr>
        <w:t>；</w:t>
      </w:r>
    </w:p>
    <w:p w14:paraId="4884D508">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（七）符合所申请项目的全部要求，并通过各项评审考察环节。</w:t>
      </w:r>
    </w:p>
    <w:p w14:paraId="47D7F355">
      <w:pPr>
        <w:pStyle w:val="5"/>
        <w:shd w:val="clear" w:color="auto" w:fill="FFFFFF"/>
        <w:spacing w:before="156" w:beforeLines="50" w:beforeAutospacing="0" w:after="156" w:afterLines="50" w:afterAutospacing="0" w:line="360" w:lineRule="auto"/>
        <w:ind w:firstLine="720" w:firstLineChars="200"/>
        <w:jc w:val="center"/>
        <w:rPr>
          <w:rFonts w:ascii="黑体" w:hAnsi="黑体" w:eastAsia="黑体" w:cs="黑体"/>
          <w:sz w:val="36"/>
          <w:szCs w:val="36"/>
        </w:rPr>
      </w:pPr>
      <w:r>
        <w:rPr>
          <w:rFonts w:hint="eastAsia" w:ascii="黑体" w:hAnsi="黑体" w:eastAsia="黑体" w:cs="黑体"/>
          <w:sz w:val="36"/>
          <w:szCs w:val="36"/>
        </w:rPr>
        <w:t>第二章 项目设置</w:t>
      </w:r>
    </w:p>
    <w:p w14:paraId="7D05CB4A">
      <w:pPr>
        <w:widowControl/>
        <w:numPr>
          <w:ilvl w:val="255"/>
          <w:numId w:val="0"/>
        </w:numPr>
        <w:spacing w:line="360" w:lineRule="auto"/>
        <w:ind w:firstLine="643" w:firstLineChars="200"/>
        <w:jc w:val="left"/>
        <w:rPr>
          <w:rFonts w:ascii="楷体" w:hAnsi="楷体" w:eastAsia="楷体" w:cs="楷体"/>
          <w:b/>
          <w:bCs/>
          <w:kern w:val="0"/>
          <w:sz w:val="32"/>
          <w:szCs w:val="32"/>
        </w:rPr>
      </w:pPr>
      <w:r>
        <w:rPr>
          <w:rFonts w:hint="eastAsia" w:ascii="楷体" w:hAnsi="楷体" w:eastAsia="楷体" w:cs="楷体"/>
          <w:b/>
          <w:bCs/>
          <w:kern w:val="0"/>
          <w:sz w:val="32"/>
          <w:szCs w:val="32"/>
        </w:rPr>
        <w:t>第</w:t>
      </w:r>
      <w:r>
        <w:rPr>
          <w:rFonts w:hint="eastAsia" w:ascii="楷体" w:hAnsi="楷体" w:eastAsia="楷体" w:cs="楷体"/>
          <w:b/>
          <w:bCs/>
          <w:kern w:val="0"/>
          <w:sz w:val="32"/>
          <w:szCs w:val="32"/>
          <w:lang w:val="en-US" w:eastAsia="zh-CN"/>
        </w:rPr>
        <w:t>五</w:t>
      </w:r>
      <w:r>
        <w:rPr>
          <w:rFonts w:hint="eastAsia" w:ascii="楷体" w:hAnsi="楷体" w:eastAsia="楷体" w:cs="楷体"/>
          <w:b/>
          <w:bCs/>
          <w:kern w:val="0"/>
          <w:sz w:val="32"/>
          <w:szCs w:val="32"/>
        </w:rPr>
        <w:t>条 国际学术会议项目</w:t>
      </w:r>
    </w:p>
    <w:p w14:paraId="159A02A1">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（一）资助内容</w:t>
      </w:r>
    </w:p>
    <w:p w14:paraId="34B06904">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本项目资助学生参加社会学、社会工作、社会政策、人类学、民俗学等相关领域的国际顶级学术会议（会议名单详见附件1）。如申请资助的会议不在清单范围内，申请人须提交相关会议材料详细说明申请理由，经学院党政联席会审议后方可纳入资助范围。</w:t>
      </w:r>
    </w:p>
    <w:p w14:paraId="01C5C854">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ascii="仿宋" w:hAnsi="仿宋" w:eastAsia="仿宋"/>
          <w:sz w:val="32"/>
          <w:szCs w:val="32"/>
        </w:rPr>
        <w:t>申请者</w:t>
      </w:r>
      <w:r>
        <w:rPr>
          <w:rFonts w:hint="eastAsia" w:ascii="仿宋" w:hAnsi="仿宋" w:eastAsia="仿宋"/>
          <w:sz w:val="32"/>
          <w:szCs w:val="32"/>
        </w:rPr>
        <w:t>须以第一作者或通讯作者身份且以中国人民大学社会学院为第一</w:t>
      </w:r>
      <w:r>
        <w:rPr>
          <w:rFonts w:ascii="仿宋" w:hAnsi="仿宋" w:eastAsia="仿宋"/>
          <w:sz w:val="32"/>
          <w:szCs w:val="32"/>
        </w:rPr>
        <w:t>署名单位</w:t>
      </w:r>
      <w:r>
        <w:rPr>
          <w:rFonts w:hint="eastAsia" w:ascii="仿宋" w:hAnsi="仿宋" w:eastAsia="仿宋"/>
          <w:sz w:val="32"/>
          <w:szCs w:val="32"/>
        </w:rPr>
        <w:t>参会，参会</w:t>
      </w:r>
      <w:r>
        <w:rPr>
          <w:rFonts w:ascii="仿宋" w:hAnsi="仿宋" w:eastAsia="仿宋"/>
          <w:sz w:val="32"/>
          <w:szCs w:val="32"/>
        </w:rPr>
        <w:t>论文</w:t>
      </w:r>
      <w:r>
        <w:rPr>
          <w:rFonts w:hint="eastAsia" w:ascii="仿宋" w:hAnsi="仿宋" w:eastAsia="仿宋"/>
          <w:sz w:val="32"/>
          <w:szCs w:val="32"/>
        </w:rPr>
        <w:t>或摘要须</w:t>
      </w:r>
      <w:r>
        <w:rPr>
          <w:rFonts w:ascii="仿宋" w:hAnsi="仿宋" w:eastAsia="仿宋"/>
          <w:sz w:val="32"/>
          <w:szCs w:val="32"/>
        </w:rPr>
        <w:t>被国际会议</w:t>
      </w:r>
      <w:r>
        <w:rPr>
          <w:rFonts w:hint="eastAsia" w:ascii="仿宋" w:hAnsi="仿宋" w:eastAsia="仿宋"/>
          <w:sz w:val="32"/>
          <w:szCs w:val="32"/>
        </w:rPr>
        <w:t>正式</w:t>
      </w:r>
      <w:r>
        <w:rPr>
          <w:rFonts w:ascii="仿宋" w:hAnsi="仿宋" w:eastAsia="仿宋"/>
          <w:sz w:val="32"/>
          <w:szCs w:val="32"/>
        </w:rPr>
        <w:t>接收</w:t>
      </w:r>
      <w:r>
        <w:rPr>
          <w:rFonts w:hint="eastAsia" w:ascii="仿宋" w:hAnsi="仿宋" w:eastAsia="仿宋"/>
          <w:sz w:val="32"/>
          <w:szCs w:val="32"/>
        </w:rPr>
        <w:t>。申请材料须附上</w:t>
      </w:r>
      <w:r>
        <w:rPr>
          <w:rFonts w:ascii="仿宋" w:hAnsi="仿宋" w:eastAsia="仿宋"/>
          <w:sz w:val="32"/>
          <w:szCs w:val="32"/>
        </w:rPr>
        <w:t>国际会议的正式邀请函</w:t>
      </w:r>
      <w:r>
        <w:rPr>
          <w:rFonts w:hint="eastAsia" w:ascii="仿宋" w:hAnsi="仿宋" w:eastAsia="仿宋"/>
          <w:sz w:val="32"/>
          <w:szCs w:val="32"/>
        </w:rPr>
        <w:t>及</w:t>
      </w:r>
      <w:r>
        <w:rPr>
          <w:rFonts w:ascii="仿宋" w:hAnsi="仿宋" w:eastAsia="仿宋"/>
          <w:sz w:val="32"/>
          <w:szCs w:val="32"/>
        </w:rPr>
        <w:t>“口头报告”</w:t>
      </w:r>
      <w:r>
        <w:rPr>
          <w:rFonts w:hint="eastAsia" w:ascii="仿宋" w:hAnsi="仿宋" w:eastAsia="仿宋"/>
          <w:sz w:val="32"/>
          <w:szCs w:val="32"/>
        </w:rPr>
        <w:t>（</w:t>
      </w:r>
      <w:r>
        <w:rPr>
          <w:rFonts w:ascii="仿宋" w:hAnsi="仿宋" w:eastAsia="仿宋"/>
          <w:sz w:val="32"/>
          <w:szCs w:val="32"/>
        </w:rPr>
        <w:t>oral presentation</w:t>
      </w:r>
      <w:r>
        <w:rPr>
          <w:rFonts w:hint="eastAsia" w:ascii="仿宋" w:hAnsi="仿宋" w:eastAsia="仿宋"/>
          <w:sz w:val="32"/>
          <w:szCs w:val="32"/>
        </w:rPr>
        <w:t>）</w:t>
      </w:r>
      <w:r>
        <w:rPr>
          <w:rFonts w:ascii="仿宋" w:hAnsi="仿宋" w:eastAsia="仿宋"/>
          <w:sz w:val="32"/>
          <w:szCs w:val="32"/>
        </w:rPr>
        <w:t>或“论文</w:t>
      </w:r>
      <w:r>
        <w:rPr>
          <w:rFonts w:hint="eastAsia" w:ascii="仿宋" w:hAnsi="仿宋" w:eastAsia="仿宋"/>
          <w:sz w:val="32"/>
          <w:szCs w:val="32"/>
        </w:rPr>
        <w:t>海报</w:t>
      </w:r>
      <w:r>
        <w:rPr>
          <w:rFonts w:ascii="仿宋" w:hAnsi="仿宋" w:eastAsia="仿宋"/>
          <w:sz w:val="32"/>
          <w:szCs w:val="32"/>
        </w:rPr>
        <w:t>展示”</w:t>
      </w:r>
      <w:r>
        <w:rPr>
          <w:rFonts w:hint="eastAsia" w:ascii="仿宋" w:hAnsi="仿宋" w:eastAsia="仿宋"/>
          <w:sz w:val="32"/>
          <w:szCs w:val="32"/>
        </w:rPr>
        <w:t>（</w:t>
      </w:r>
      <w:r>
        <w:rPr>
          <w:rFonts w:ascii="仿宋" w:hAnsi="仿宋" w:eastAsia="仿宋"/>
          <w:sz w:val="32"/>
          <w:szCs w:val="32"/>
        </w:rPr>
        <w:t>poster presentation</w:t>
      </w:r>
      <w:r>
        <w:rPr>
          <w:rFonts w:hint="eastAsia" w:ascii="仿宋" w:hAnsi="仿宋" w:eastAsia="仿宋"/>
          <w:sz w:val="32"/>
          <w:szCs w:val="32"/>
        </w:rPr>
        <w:t>）</w:t>
      </w:r>
      <w:r>
        <w:rPr>
          <w:rFonts w:ascii="仿宋" w:hAnsi="仿宋" w:eastAsia="仿宋"/>
          <w:sz w:val="32"/>
          <w:szCs w:val="32"/>
        </w:rPr>
        <w:t>的</w:t>
      </w:r>
      <w:r>
        <w:rPr>
          <w:rFonts w:hint="eastAsia" w:ascii="仿宋" w:hAnsi="仿宋" w:eastAsia="仿宋"/>
          <w:sz w:val="32"/>
          <w:szCs w:val="32"/>
        </w:rPr>
        <w:t>相关</w:t>
      </w:r>
      <w:r>
        <w:rPr>
          <w:rFonts w:ascii="仿宋" w:hAnsi="仿宋" w:eastAsia="仿宋"/>
          <w:sz w:val="32"/>
          <w:szCs w:val="32"/>
        </w:rPr>
        <w:t>证明。</w:t>
      </w:r>
      <w:r>
        <w:rPr>
          <w:rFonts w:hint="eastAsia" w:ascii="仿宋" w:hAnsi="仿宋" w:eastAsia="仿宋"/>
          <w:sz w:val="32"/>
          <w:szCs w:val="32"/>
        </w:rPr>
        <w:t>原则上，每篇论文只资助</w:t>
      </w:r>
      <w:r>
        <w:rPr>
          <w:rFonts w:ascii="仿宋" w:hAnsi="仿宋" w:eastAsia="仿宋"/>
          <w:sz w:val="32"/>
          <w:szCs w:val="32"/>
        </w:rPr>
        <w:t>1人</w:t>
      </w:r>
      <w:r>
        <w:rPr>
          <w:rFonts w:hint="eastAsia" w:ascii="仿宋" w:hAnsi="仿宋" w:eastAsia="仿宋"/>
          <w:sz w:val="32"/>
          <w:szCs w:val="32"/>
        </w:rPr>
        <w:t>参会。</w:t>
      </w:r>
    </w:p>
    <w:p w14:paraId="06D34418">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（二）资助标准</w:t>
      </w:r>
    </w:p>
    <w:p w14:paraId="0A5A926F">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获得</w:t>
      </w:r>
      <w:r>
        <w:rPr>
          <w:rFonts w:ascii="仿宋" w:hAnsi="仿宋" w:eastAsia="仿宋"/>
          <w:sz w:val="32"/>
          <w:szCs w:val="32"/>
        </w:rPr>
        <w:t>“口头报告”</w:t>
      </w:r>
      <w:r>
        <w:rPr>
          <w:rFonts w:hint="eastAsia" w:ascii="仿宋" w:hAnsi="仿宋" w:eastAsia="仿宋"/>
          <w:sz w:val="32"/>
          <w:szCs w:val="32"/>
        </w:rPr>
        <w:t>（</w:t>
      </w:r>
      <w:r>
        <w:rPr>
          <w:rFonts w:ascii="仿宋" w:hAnsi="仿宋" w:eastAsia="仿宋"/>
          <w:sz w:val="32"/>
          <w:szCs w:val="32"/>
        </w:rPr>
        <w:t>oral presentation</w:t>
      </w:r>
      <w:r>
        <w:rPr>
          <w:rFonts w:hint="eastAsia" w:ascii="仿宋" w:hAnsi="仿宋" w:eastAsia="仿宋"/>
          <w:sz w:val="32"/>
          <w:szCs w:val="32"/>
        </w:rPr>
        <w:t>）资格的申请者，可申请包括注册费、国际交通费（经济舱往返，行程须与会期相符，以下同）、住宿费、健康保险费等会议资助，以人民币</w:t>
      </w:r>
      <w:r>
        <w:rPr>
          <w:rFonts w:ascii="仿宋" w:hAnsi="仿宋" w:eastAsia="仿宋"/>
          <w:sz w:val="32"/>
          <w:szCs w:val="32"/>
        </w:rPr>
        <w:t>6000</w:t>
      </w:r>
      <w:r>
        <w:rPr>
          <w:rFonts w:hint="eastAsia" w:ascii="仿宋" w:hAnsi="仿宋" w:eastAsia="仿宋"/>
          <w:sz w:val="32"/>
          <w:szCs w:val="32"/>
        </w:rPr>
        <w:t>元至</w:t>
      </w:r>
      <w:r>
        <w:rPr>
          <w:rFonts w:ascii="仿宋" w:hAnsi="仿宋" w:eastAsia="仿宋"/>
          <w:sz w:val="32"/>
          <w:szCs w:val="32"/>
        </w:rPr>
        <w:t>15000</w:t>
      </w:r>
      <w:r>
        <w:rPr>
          <w:rFonts w:hint="eastAsia" w:ascii="仿宋" w:hAnsi="仿宋" w:eastAsia="仿宋"/>
          <w:sz w:val="32"/>
          <w:szCs w:val="32"/>
        </w:rPr>
        <w:t>元奖学金形式发放。</w:t>
      </w:r>
    </w:p>
    <w:p w14:paraId="5A2EA4B2">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获得</w:t>
      </w:r>
      <w:r>
        <w:rPr>
          <w:rFonts w:ascii="仿宋" w:hAnsi="仿宋" w:eastAsia="仿宋"/>
          <w:sz w:val="32"/>
          <w:szCs w:val="32"/>
        </w:rPr>
        <w:t>“论文</w:t>
      </w:r>
      <w:r>
        <w:rPr>
          <w:rFonts w:hint="eastAsia" w:ascii="仿宋" w:hAnsi="仿宋" w:eastAsia="仿宋"/>
          <w:sz w:val="32"/>
          <w:szCs w:val="32"/>
        </w:rPr>
        <w:t>海报</w:t>
      </w:r>
      <w:r>
        <w:rPr>
          <w:rFonts w:ascii="仿宋" w:hAnsi="仿宋" w:eastAsia="仿宋"/>
          <w:sz w:val="32"/>
          <w:szCs w:val="32"/>
        </w:rPr>
        <w:t>展示”</w:t>
      </w:r>
      <w:r>
        <w:rPr>
          <w:rFonts w:hint="eastAsia" w:ascii="仿宋" w:hAnsi="仿宋" w:eastAsia="仿宋"/>
          <w:sz w:val="32"/>
          <w:szCs w:val="32"/>
        </w:rPr>
        <w:t>（</w:t>
      </w:r>
      <w:r>
        <w:rPr>
          <w:rFonts w:ascii="仿宋" w:hAnsi="仿宋" w:eastAsia="仿宋"/>
          <w:sz w:val="32"/>
          <w:szCs w:val="32"/>
        </w:rPr>
        <w:t>poster presentation</w:t>
      </w:r>
      <w:r>
        <w:rPr>
          <w:rFonts w:hint="eastAsia" w:ascii="仿宋" w:hAnsi="仿宋" w:eastAsia="仿宋"/>
          <w:sz w:val="32"/>
          <w:szCs w:val="32"/>
        </w:rPr>
        <w:t>）资格的申请者，可申请注册费、国际交通费、住宿费、健康保险费等会议资助，以人民币</w:t>
      </w:r>
      <w:r>
        <w:rPr>
          <w:rFonts w:ascii="仿宋" w:hAnsi="仿宋" w:eastAsia="仿宋"/>
          <w:sz w:val="32"/>
          <w:szCs w:val="32"/>
        </w:rPr>
        <w:t>3000</w:t>
      </w:r>
      <w:r>
        <w:rPr>
          <w:rFonts w:hint="eastAsia" w:ascii="仿宋" w:hAnsi="仿宋" w:eastAsia="仿宋"/>
          <w:sz w:val="32"/>
          <w:szCs w:val="32"/>
        </w:rPr>
        <w:t>元至</w:t>
      </w:r>
      <w:r>
        <w:rPr>
          <w:rFonts w:ascii="仿宋" w:hAnsi="仿宋" w:eastAsia="仿宋"/>
          <w:sz w:val="32"/>
          <w:szCs w:val="32"/>
        </w:rPr>
        <w:t>6000</w:t>
      </w:r>
      <w:r>
        <w:rPr>
          <w:rFonts w:hint="eastAsia" w:ascii="仿宋" w:hAnsi="仿宋" w:eastAsia="仿宋"/>
          <w:sz w:val="32"/>
          <w:szCs w:val="32"/>
        </w:rPr>
        <w:t>元奖学金形式发放。</w:t>
      </w:r>
    </w:p>
    <w:p w14:paraId="6F610217">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（三）申请材料</w:t>
      </w:r>
    </w:p>
    <w:p w14:paraId="03F6776E">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申请者应提交以下材料：《中国人民大学“航笙优才培养计划”项目申请表》；会议介绍；参会邀请函；会议日程安排；投稿论文；参会说明（非清单内会议）；外语水平证明复印件（如大学英语四级/六级、雅思、托福等成绩）。</w:t>
      </w:r>
    </w:p>
    <w:p w14:paraId="4F61603E">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（四）考核要求</w:t>
      </w:r>
    </w:p>
    <w:p w14:paraId="6DF53BE5">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回国后，需提交参会照片、参会总结、行程单、住宿订单等。</w:t>
      </w:r>
    </w:p>
    <w:p w14:paraId="144DD767">
      <w:pPr>
        <w:pStyle w:val="5"/>
        <w:shd w:val="clear" w:color="auto" w:fill="FFFFFF"/>
        <w:spacing w:before="0" w:beforeAutospacing="0" w:after="0" w:afterAutospacing="0" w:line="360" w:lineRule="auto"/>
        <w:ind w:firstLine="643" w:firstLineChars="200"/>
        <w:rPr>
          <w:rFonts w:ascii="楷体" w:hAnsi="楷体" w:eastAsia="楷体" w:cs="楷体"/>
          <w:b/>
          <w:bCs/>
          <w:sz w:val="32"/>
          <w:szCs w:val="32"/>
        </w:rPr>
      </w:pPr>
      <w:r>
        <w:rPr>
          <w:rFonts w:hint="eastAsia" w:ascii="楷体" w:hAnsi="楷体" w:eastAsia="楷体" w:cs="楷体"/>
          <w:b/>
          <w:bCs/>
          <w:sz w:val="32"/>
          <w:szCs w:val="32"/>
        </w:rPr>
        <w:t>第</w:t>
      </w:r>
      <w:r>
        <w:rPr>
          <w:rFonts w:hint="eastAsia" w:ascii="楷体" w:hAnsi="楷体" w:eastAsia="楷体" w:cs="楷体"/>
          <w:b/>
          <w:bCs/>
          <w:sz w:val="32"/>
          <w:szCs w:val="32"/>
          <w:lang w:val="en-US" w:eastAsia="zh-CN"/>
        </w:rPr>
        <w:t>六</w:t>
      </w:r>
      <w:r>
        <w:rPr>
          <w:rFonts w:hint="eastAsia" w:ascii="楷体" w:hAnsi="楷体" w:eastAsia="楷体" w:cs="楷体"/>
          <w:b/>
          <w:bCs/>
          <w:sz w:val="32"/>
          <w:szCs w:val="32"/>
        </w:rPr>
        <w:t>条 海外田野课堂项目</w:t>
      </w:r>
    </w:p>
    <w:p w14:paraId="62D7F621">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（一）资助内容</w:t>
      </w:r>
    </w:p>
    <w:p w14:paraId="3D64FC98">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本项目资助参与海外田野课堂的学生和带队教师，一般由带队教师向学院提出申请。海外田野课堂是指由学院组织的海外教学、调研、实习等项目。</w:t>
      </w:r>
    </w:p>
    <w:p w14:paraId="251D8008">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（二）资助标准</w:t>
      </w:r>
    </w:p>
    <w:p w14:paraId="74E15F73">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主要资助师生参加海外田野课堂的国际交通费、住宿费及相关的教学组织、项目管理等费用。具体经费由带队教师提交预算，经批准后在预算范围内支出。</w:t>
      </w:r>
    </w:p>
    <w:p w14:paraId="37CD3697">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（三）申请材料</w:t>
      </w:r>
    </w:p>
    <w:p w14:paraId="6FCF2E5F">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申请者应提交以下材料：《中国人民大学</w:t>
      </w:r>
      <w:r>
        <w:rPr>
          <w:rFonts w:ascii="仿宋" w:hAnsi="仿宋" w:eastAsia="仿宋"/>
          <w:sz w:val="32"/>
          <w:szCs w:val="32"/>
        </w:rPr>
        <w:t>“航笙优才培养计划”项目申请表</w:t>
      </w:r>
      <w:r>
        <w:rPr>
          <w:rFonts w:hint="eastAsia" w:ascii="仿宋" w:hAnsi="仿宋" w:eastAsia="仿宋"/>
          <w:sz w:val="32"/>
          <w:szCs w:val="32"/>
        </w:rPr>
        <w:t>》；</w:t>
      </w:r>
      <w:r>
        <w:rPr>
          <w:rFonts w:hint="eastAsia" w:ascii="仿宋" w:hAnsi="仿宋" w:eastAsia="仿宋"/>
          <w:color w:val="0F1115"/>
          <w:sz w:val="32"/>
          <w:szCs w:val="32"/>
          <w:shd w:val="clear" w:color="auto" w:fill="FFFFFF"/>
        </w:rPr>
        <w:t>项目方案（包括项目背景、</w:t>
      </w:r>
      <w:r>
        <w:rPr>
          <w:rFonts w:hint="eastAsia" w:ascii="仿宋" w:hAnsi="仿宋" w:eastAsia="仿宋"/>
          <w:sz w:val="32"/>
          <w:szCs w:val="32"/>
        </w:rPr>
        <w:t>日程安排、选拔标准、预期成果等）；合作方邀请函等。</w:t>
      </w:r>
    </w:p>
    <w:p w14:paraId="13AB605D">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（四）考核要求</w:t>
      </w:r>
    </w:p>
    <w:p w14:paraId="0AFB346B">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项目结束后15个工作日内，项目组需提交教学总结报告（不少于5000字）、教学过程材料（访谈资料、田野笔记，以及调研过程中产生的照片、音频、视频等资料）、详细通讯稿，经费决算表及相关费用票据，学生需提交个人实践报告（不少于1500字）。所有学生有义务参加项目</w:t>
      </w:r>
      <w:r>
        <w:rPr>
          <w:rFonts w:hint="eastAsia" w:ascii="仿宋" w:hAnsi="仿宋" w:eastAsia="仿宋"/>
          <w:color w:val="0F1115"/>
          <w:sz w:val="32"/>
          <w:szCs w:val="32"/>
          <w:shd w:val="clear" w:color="auto" w:fill="FFFFFF"/>
        </w:rPr>
        <w:t>成果分享会或汇报展</w:t>
      </w:r>
      <w:r>
        <w:rPr>
          <w:rFonts w:hint="eastAsia" w:ascii="仿宋" w:hAnsi="仿宋" w:eastAsia="仿宋"/>
          <w:sz w:val="32"/>
          <w:szCs w:val="32"/>
        </w:rPr>
        <w:t>。</w:t>
      </w:r>
    </w:p>
    <w:p w14:paraId="12912FBD">
      <w:pPr>
        <w:pStyle w:val="5"/>
        <w:shd w:val="clear" w:color="auto" w:fill="FFFFFF"/>
        <w:spacing w:before="0" w:beforeAutospacing="0" w:after="0" w:afterAutospacing="0" w:line="360" w:lineRule="auto"/>
        <w:rPr>
          <w:rFonts w:ascii="楷体" w:hAnsi="楷体" w:eastAsia="楷体" w:cs="楷体"/>
          <w:b/>
          <w:bCs/>
          <w:sz w:val="32"/>
          <w:szCs w:val="32"/>
        </w:rPr>
      </w:pPr>
      <w:r>
        <w:rPr>
          <w:rFonts w:hint="eastAsia" w:ascii="仿宋" w:hAnsi="仿宋" w:eastAsia="仿宋" w:cstheme="minorBidi"/>
          <w:sz w:val="32"/>
          <w:szCs w:val="32"/>
        </w:rPr>
        <w:t xml:space="preserve">    </w:t>
      </w:r>
      <w:r>
        <w:rPr>
          <w:rFonts w:hint="eastAsia" w:ascii="楷体" w:hAnsi="楷体" w:eastAsia="楷体" w:cs="楷体"/>
          <w:b/>
          <w:bCs/>
          <w:sz w:val="32"/>
          <w:szCs w:val="32"/>
        </w:rPr>
        <w:t>第</w:t>
      </w:r>
      <w:r>
        <w:rPr>
          <w:rFonts w:hint="eastAsia" w:ascii="楷体" w:hAnsi="楷体" w:eastAsia="楷体" w:cs="楷体"/>
          <w:b/>
          <w:bCs/>
          <w:sz w:val="32"/>
          <w:szCs w:val="32"/>
          <w:lang w:val="en-US" w:eastAsia="zh-CN"/>
        </w:rPr>
        <w:t>七</w:t>
      </w:r>
      <w:r>
        <w:rPr>
          <w:rFonts w:hint="eastAsia" w:ascii="楷体" w:hAnsi="楷体" w:eastAsia="楷体" w:cs="楷体"/>
          <w:b/>
          <w:bCs/>
          <w:sz w:val="32"/>
          <w:szCs w:val="32"/>
        </w:rPr>
        <w:t>条 国际优才项目</w:t>
      </w:r>
    </w:p>
    <w:p w14:paraId="41891E55">
      <w:pPr>
        <w:pStyle w:val="5"/>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（一）资助内容</w:t>
      </w:r>
    </w:p>
    <w:p w14:paraId="3240DA57">
      <w:pPr>
        <w:widowControl/>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本项目资助学生赴世界一流大学或一流学科进行1学期至1学年的交流学习。原则上，访学单位应为QS世界大学综合排名或社会学学科排名前</w:t>
      </w:r>
      <w:r>
        <w:rPr>
          <w:rFonts w:ascii="仿宋" w:hAnsi="仿宋" w:eastAsia="仿宋" w:cs="宋体"/>
          <w:sz w:val="32"/>
          <w:szCs w:val="32"/>
        </w:rPr>
        <w:t>50</w:t>
      </w:r>
      <w:r>
        <w:rPr>
          <w:rFonts w:hint="eastAsia" w:ascii="仿宋" w:hAnsi="仿宋" w:eastAsia="仿宋" w:cs="宋体"/>
          <w:sz w:val="32"/>
          <w:szCs w:val="32"/>
        </w:rPr>
        <w:t>的高校，排名以申请当年适用的QS最新公布的排名为准。如申请其它学校，</w:t>
      </w:r>
      <w:r>
        <w:rPr>
          <w:rFonts w:hint="eastAsia" w:ascii="仿宋" w:hAnsi="仿宋" w:eastAsia="仿宋"/>
          <w:sz w:val="32"/>
          <w:szCs w:val="32"/>
        </w:rPr>
        <w:t>须提交相关会议材料详细说明申请理由，经学院党政联席会审议后方可纳入资助范围。申请者须符合外语水平要求。</w:t>
      </w:r>
      <w:r>
        <w:rPr>
          <w:rFonts w:hint="eastAsia" w:ascii="仿宋" w:hAnsi="仿宋" w:eastAsia="仿宋" w:cs="宋体"/>
          <w:sz w:val="32"/>
          <w:szCs w:val="32"/>
        </w:rPr>
        <w:t xml:space="preserve">如交换项目对于外语水平有特定要求的，以交换项目的要求为准。如交换项目对外语水平无特定要求，且为英文授课的，申请人须满足以下任一条件：（1）托福（IBT）成绩80分以上；（2）雅思成绩总分6.0以上；（3）大学英语考试六级（CET 6）425分以上。    </w:t>
      </w:r>
    </w:p>
    <w:p w14:paraId="52AF5A31">
      <w:pPr>
        <w:widowControl/>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（二）资助标准</w:t>
      </w:r>
    </w:p>
    <w:p w14:paraId="2AD31BC8">
      <w:pPr>
        <w:widowControl/>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资助内容一般为一次往返国际旅费和资助期限内的奖学金。</w:t>
      </w:r>
    </w:p>
    <w:p w14:paraId="0EBBE4FB">
      <w:pPr>
        <w:widowControl/>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1、国际旅费：资助一次往返国际旅费，统一按照经济舱标准报销，国际旅费的报销须与访学期限相符。​</w:t>
      </w:r>
    </w:p>
    <w:p w14:paraId="403B071E">
      <w:pPr>
        <w:widowControl/>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2、奖学金：用于资助出国交流学生在外学习期间的基本学习生活费用，可用于支付学费、生活费、注册费、医疗保险费等。奖学金发放标准根据访学目的地及时长制定：</w:t>
      </w:r>
    </w:p>
    <w:p w14:paraId="22419D42">
      <w:pPr>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赴美洲（美国）访学半年，奖学金标准为20,000元；访学一年，奖学金标准为40,000元。</w:t>
      </w:r>
    </w:p>
    <w:p w14:paraId="57219CD4">
      <w:pPr>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赴美洲（加拿大）、大洋洲、欧洲（瑞士、英国等12国）、亚洲（日本、韩国、新加坡、以色列）访学半年，奖学金标准为15,000元；访学一年，奖学金标准为30,000元。</w:t>
      </w:r>
    </w:p>
    <w:p w14:paraId="37AEB45A">
      <w:pPr>
        <w:numPr>
          <w:ilvl w:val="255"/>
          <w:numId w:val="0"/>
        </w:numPr>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赴欧洲（俄罗斯、西班牙等8国）访学半年，奖学金标准为15,000元；访学一年，奖学金标准为30,000元。</w:t>
      </w:r>
    </w:p>
    <w:p w14:paraId="2D05FD5D">
      <w:pPr>
        <w:widowControl/>
        <w:numPr>
          <w:ilvl w:val="0"/>
          <w:numId w:val="1"/>
        </w:numPr>
        <w:spacing w:line="360" w:lineRule="auto"/>
        <w:ind w:left="0" w:firstLine="0"/>
        <w:jc w:val="left"/>
        <w:rPr>
          <w:rFonts w:ascii="仿宋" w:hAnsi="仿宋" w:eastAsia="仿宋" w:cs="宋体"/>
          <w:sz w:val="32"/>
          <w:szCs w:val="32"/>
        </w:rPr>
      </w:pPr>
      <w:r>
        <w:rPr>
          <w:rFonts w:hint="eastAsia" w:ascii="仿宋" w:hAnsi="仿宋" w:eastAsia="仿宋" w:cs="宋体"/>
          <w:sz w:val="32"/>
          <w:szCs w:val="32"/>
        </w:rPr>
        <w:t>赴非洲、美洲（其他）、欧洲（其他）、亚洲（其他）访学半年，奖学金标准为10,000元；访学一年，奖学金标准为20,000元。</w:t>
      </w:r>
    </w:p>
    <w:p w14:paraId="599252B6">
      <w:pPr>
        <w:widowControl/>
        <w:numPr>
          <w:ilvl w:val="255"/>
          <w:numId w:val="0"/>
        </w:numPr>
        <w:spacing w:line="360" w:lineRule="auto"/>
        <w:ind w:firstLine="640" w:firstLineChars="200"/>
        <w:jc w:val="left"/>
        <w:rPr>
          <w:rFonts w:ascii="仿宋" w:hAnsi="仿宋" w:eastAsia="仿宋" w:cs="宋体"/>
          <w:sz w:val="32"/>
          <w:szCs w:val="32"/>
        </w:rPr>
      </w:pPr>
      <w:r>
        <w:rPr>
          <w:rFonts w:hint="eastAsia" w:ascii="仿宋" w:hAnsi="仿宋" w:eastAsia="仿宋" w:cs="宋体"/>
          <w:sz w:val="32"/>
          <w:szCs w:val="32"/>
        </w:rPr>
        <w:t>年度限额：本项目每年资助名额一般不超过10人次。</w:t>
      </w:r>
    </w:p>
    <w:p w14:paraId="7E9E24BC">
      <w:pPr>
        <w:shd w:val="clear" w:color="auto" w:fill="FFFFFF"/>
        <w:spacing w:line="360" w:lineRule="auto"/>
        <w:rPr>
          <w:rFonts w:ascii="仿宋" w:hAnsi="仿宋" w:eastAsia="仿宋" w:cs="宋体"/>
          <w:sz w:val="32"/>
          <w:szCs w:val="32"/>
        </w:rPr>
      </w:pPr>
      <w:r>
        <w:rPr>
          <w:rFonts w:hint="eastAsia" w:ascii="仿宋" w:hAnsi="仿宋" w:eastAsia="仿宋" w:cs="宋体"/>
          <w:sz w:val="32"/>
          <w:szCs w:val="32"/>
        </w:rPr>
        <w:t>特殊情况由学院评审小组及党政联席会讨论后决定。</w:t>
      </w:r>
    </w:p>
    <w:p w14:paraId="349B4218">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（二）申请材料</w:t>
      </w:r>
    </w:p>
    <w:p w14:paraId="765B619E">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申请者应提交以下材料：《中国人民大学“航笙优才培养计划”项目申请表》；申请学校正式邀请函或录取通知书，并附申请学校及学科的QS排名证明；个人学习计划（包括访学目标、课程选择、科研计划等）；在校成绩单；外语水平证明材料；其他能够证明科研能力或综合素质的材料。</w:t>
      </w:r>
    </w:p>
    <w:p w14:paraId="19FEC318">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（四）考核要求</w:t>
      </w:r>
    </w:p>
    <w:p w14:paraId="240F5FCE">
      <w:pPr>
        <w:widowControl/>
        <w:numPr>
          <w:ilvl w:val="255"/>
          <w:numId w:val="0"/>
        </w:numPr>
        <w:spacing w:line="360" w:lineRule="auto"/>
        <w:ind w:firstLine="640" w:firstLineChars="200"/>
        <w:jc w:val="left"/>
        <w:rPr>
          <w:rFonts w:ascii="仿宋" w:hAnsi="仿宋" w:eastAsia="仿宋"/>
          <w:sz w:val="32"/>
          <w:szCs w:val="32"/>
        </w:rPr>
      </w:pPr>
      <w:r>
        <w:rPr>
          <w:rFonts w:hint="eastAsia" w:ascii="仿宋" w:hAnsi="仿宋" w:eastAsia="仿宋"/>
          <w:sz w:val="32"/>
          <w:szCs w:val="32"/>
        </w:rPr>
        <w:t>本项目要求学生在交流学习期间完成以下任务：本科生每学期至少正式选修2门课程、参加3次学术讲座、完成1次田野调查；研究生每学期至少正式选修1门课程，每学期参加1次正式学术会议、3次学术讲座，完成1次田野调查，撰写1篇高水平学术论文。</w:t>
      </w:r>
    </w:p>
    <w:p w14:paraId="0756EB6D">
      <w:pPr>
        <w:widowControl/>
        <w:spacing w:line="360" w:lineRule="auto"/>
        <w:ind w:firstLine="640" w:firstLineChars="200"/>
        <w:jc w:val="left"/>
        <w:rPr>
          <w:rFonts w:ascii="仿宋" w:hAnsi="仿宋" w:eastAsia="仿宋"/>
          <w:sz w:val="32"/>
          <w:szCs w:val="32"/>
        </w:rPr>
      </w:pPr>
      <w:r>
        <w:rPr>
          <w:rFonts w:hint="eastAsia" w:ascii="仿宋" w:hAnsi="仿宋" w:eastAsia="仿宋"/>
          <w:sz w:val="32"/>
          <w:szCs w:val="32"/>
        </w:rPr>
        <w:t>项目结束后，需在15个工作日内提交以下材料：项目总结报告（不少于5000字）；国外大学出具的正式成绩单；参加学术会议证明；参加学术讲座材料；开展田野调查材料；高水平学术论文；国外交流期间其他相关成果。</w:t>
      </w:r>
    </w:p>
    <w:p w14:paraId="04ECDF19">
      <w:pPr>
        <w:pStyle w:val="5"/>
        <w:shd w:val="clear" w:color="auto" w:fill="FFFFFF"/>
        <w:spacing w:before="0" w:beforeAutospacing="0" w:after="0" w:afterAutospacing="0" w:line="360" w:lineRule="auto"/>
        <w:ind w:firstLine="643" w:firstLineChars="200"/>
        <w:rPr>
          <w:rFonts w:ascii="楷体" w:hAnsi="楷体" w:eastAsia="楷体" w:cs="楷体"/>
          <w:b/>
          <w:bCs/>
          <w:sz w:val="32"/>
          <w:szCs w:val="32"/>
        </w:rPr>
      </w:pPr>
      <w:r>
        <w:rPr>
          <w:rFonts w:hint="eastAsia" w:ascii="楷体" w:hAnsi="楷体" w:eastAsia="楷体" w:cs="楷体"/>
          <w:b/>
          <w:bCs/>
          <w:sz w:val="32"/>
          <w:szCs w:val="32"/>
        </w:rPr>
        <w:t>第</w:t>
      </w:r>
      <w:r>
        <w:rPr>
          <w:rFonts w:hint="eastAsia" w:ascii="楷体" w:hAnsi="楷体" w:eastAsia="楷体" w:cs="楷体"/>
          <w:b/>
          <w:bCs/>
          <w:sz w:val="32"/>
          <w:szCs w:val="32"/>
          <w:lang w:val="en-US" w:eastAsia="zh-CN"/>
        </w:rPr>
        <w:t>八</w:t>
      </w:r>
      <w:r>
        <w:rPr>
          <w:rFonts w:hint="eastAsia" w:ascii="楷体" w:hAnsi="楷体" w:eastAsia="楷体" w:cs="楷体"/>
          <w:b/>
          <w:bCs/>
          <w:sz w:val="32"/>
          <w:szCs w:val="32"/>
        </w:rPr>
        <w:t>条 国际交流项目</w:t>
      </w:r>
    </w:p>
    <w:p w14:paraId="7853AAF9">
      <w:pPr>
        <w:numPr>
          <w:ilvl w:val="255"/>
          <w:numId w:val="0"/>
        </w:numPr>
        <w:shd w:val="clear" w:color="auto" w:fill="FFFFFF"/>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（一）资助内容</w:t>
      </w:r>
    </w:p>
    <w:p w14:paraId="743FB647">
      <w:pPr>
        <w:numPr>
          <w:ilvl w:val="255"/>
          <w:numId w:val="0"/>
        </w:numPr>
        <w:shd w:val="clear" w:color="auto" w:fill="FFFFFF"/>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本项目支持我院优秀在校生参与学院组织或认定的各类短期国际交流项目、短期国际交换生项目、海外学术训练营等。</w:t>
      </w:r>
    </w:p>
    <w:p w14:paraId="7A4DCA8E">
      <w:pPr>
        <w:pStyle w:val="3"/>
        <w:numPr>
          <w:ilvl w:val="255"/>
          <w:numId w:val="0"/>
        </w:numPr>
        <w:spacing w:line="360" w:lineRule="auto"/>
        <w:ind w:firstLine="640" w:firstLineChars="200"/>
        <w:rPr>
          <w:rFonts w:cs="宋体"/>
          <w:sz w:val="32"/>
          <w:szCs w:val="32"/>
          <w:lang w:eastAsia="zh-CN"/>
        </w:rPr>
      </w:pPr>
      <w:r>
        <w:rPr>
          <w:rFonts w:hint="eastAsia" w:cs="宋体"/>
          <w:sz w:val="32"/>
          <w:szCs w:val="32"/>
          <w:lang w:eastAsia="zh-CN"/>
        </w:rPr>
        <w:t>（二）资助标准</w:t>
      </w:r>
    </w:p>
    <w:p w14:paraId="247FCD7B">
      <w:pPr>
        <w:pStyle w:val="3"/>
        <w:numPr>
          <w:ilvl w:val="255"/>
          <w:numId w:val="0"/>
        </w:numPr>
        <w:spacing w:line="360" w:lineRule="auto"/>
        <w:ind w:firstLine="640" w:firstLineChars="200"/>
        <w:rPr>
          <w:rFonts w:cstheme="minorBidi"/>
          <w:sz w:val="32"/>
          <w:szCs w:val="32"/>
          <w:lang w:eastAsia="zh-CN"/>
        </w:rPr>
      </w:pPr>
      <w:r>
        <w:rPr>
          <w:rFonts w:hint="eastAsia" w:cs="宋体"/>
          <w:sz w:val="32"/>
          <w:szCs w:val="32"/>
          <w:lang w:eastAsia="zh-CN"/>
        </w:rPr>
        <w:t>资助主要用于学生参与此类项目所需的学费、</w:t>
      </w:r>
      <w:r>
        <w:rPr>
          <w:rFonts w:cstheme="minorBidi"/>
          <w:sz w:val="32"/>
          <w:szCs w:val="32"/>
          <w:lang w:eastAsia="zh-CN"/>
        </w:rPr>
        <w:t>交通费、</w:t>
      </w:r>
      <w:r>
        <w:rPr>
          <w:rFonts w:hint="eastAsia" w:cstheme="minorBidi"/>
          <w:sz w:val="32"/>
          <w:szCs w:val="32"/>
          <w:lang w:eastAsia="zh-CN"/>
        </w:rPr>
        <w:t>住宿</w:t>
      </w:r>
      <w:r>
        <w:rPr>
          <w:rFonts w:cstheme="minorBidi"/>
          <w:sz w:val="32"/>
          <w:szCs w:val="32"/>
          <w:lang w:eastAsia="zh-CN"/>
        </w:rPr>
        <w:t>费</w:t>
      </w:r>
      <w:r>
        <w:rPr>
          <w:rFonts w:hint="eastAsia" w:cstheme="minorBidi"/>
          <w:sz w:val="32"/>
          <w:szCs w:val="32"/>
          <w:lang w:eastAsia="zh-CN"/>
        </w:rPr>
        <w:t>等费用。申请者需提交详细预算，资助标准原则上每人不超过人民币40</w:t>
      </w:r>
      <w:r>
        <w:rPr>
          <w:rFonts w:cstheme="minorBidi"/>
          <w:sz w:val="32"/>
          <w:szCs w:val="32"/>
          <w:lang w:eastAsia="zh-CN"/>
        </w:rPr>
        <w:t>000</w:t>
      </w:r>
      <w:r>
        <w:rPr>
          <w:rFonts w:hint="eastAsia" w:cstheme="minorBidi"/>
          <w:sz w:val="32"/>
          <w:szCs w:val="32"/>
          <w:lang w:eastAsia="zh-CN"/>
        </w:rPr>
        <w:t>元。</w:t>
      </w:r>
    </w:p>
    <w:p w14:paraId="3FA8BC8E">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（三）申请材料</w:t>
      </w:r>
    </w:p>
    <w:p w14:paraId="38A1FD36">
      <w:pPr>
        <w:pStyle w:val="3"/>
        <w:widowControl/>
        <w:numPr>
          <w:ilvl w:val="255"/>
          <w:numId w:val="0"/>
        </w:numPr>
        <w:shd w:val="clear" w:color="auto" w:fill="FFFFFF"/>
        <w:spacing w:line="360" w:lineRule="auto"/>
        <w:ind w:firstLine="640" w:firstLineChars="200"/>
        <w:rPr>
          <w:rFonts w:cs="宋体"/>
          <w:sz w:val="32"/>
          <w:szCs w:val="32"/>
          <w:lang w:eastAsia="zh-CN"/>
        </w:rPr>
      </w:pPr>
      <w:r>
        <w:rPr>
          <w:rFonts w:hint="eastAsia" w:cs="宋体"/>
          <w:sz w:val="32"/>
          <w:szCs w:val="32"/>
          <w:lang w:eastAsia="zh-CN"/>
        </w:rPr>
        <w:t>申请者需提交以下材料：《中国人民大学“航笙优才培养计划”项目申请表》；申请学校的录取通知或邀请函；个人学习计划，包括拟选修课程、拟参加学术活动、预期成果等；外语能力证明材料（如大学英语四/六级、托福、雅思成绩）；在校成绩单；其他能够证明科研能力或综合素质的材料。</w:t>
      </w:r>
    </w:p>
    <w:p w14:paraId="11AE286C">
      <w:pPr>
        <w:pStyle w:val="5"/>
        <w:numPr>
          <w:ilvl w:val="255"/>
          <w:numId w:val="0"/>
        </w:numPr>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（四）考核要求</w:t>
      </w:r>
    </w:p>
    <w:p w14:paraId="49A59055">
      <w:pPr>
        <w:pStyle w:val="5"/>
        <w:numPr>
          <w:ilvl w:val="255"/>
          <w:numId w:val="0"/>
        </w:numPr>
        <w:shd w:val="clear" w:color="auto" w:fill="FFFFFF"/>
        <w:spacing w:before="0" w:beforeAutospacing="0" w:after="0" w:afterAutospacing="0" w:line="360" w:lineRule="auto"/>
        <w:ind w:firstLine="640"/>
        <w:rPr>
          <w:rFonts w:cstheme="minorBidi"/>
          <w:sz w:val="32"/>
          <w:szCs w:val="32"/>
        </w:rPr>
      </w:pPr>
      <w:r>
        <w:rPr>
          <w:rFonts w:hint="eastAsia" w:ascii="仿宋" w:hAnsi="仿宋" w:eastAsia="仿宋"/>
          <w:sz w:val="32"/>
          <w:szCs w:val="32"/>
        </w:rPr>
        <w:t>项目结束后15个工作日内，需提交项目总结报告（不少于3000字）、国外大学出具的正式成绩单或项目结业证书、研究成果等，并提交交流期间产生费用的相关票据。有义务以报告会、沙龙等形式，向学院师生分享学习经验、学术成果。</w:t>
      </w:r>
    </w:p>
    <w:p w14:paraId="36BAFBE1">
      <w:pPr>
        <w:pStyle w:val="5"/>
        <w:shd w:val="clear" w:color="auto" w:fill="FFFFFF"/>
        <w:spacing w:before="0" w:beforeAutospacing="0" w:after="0" w:afterAutospacing="0" w:line="360" w:lineRule="auto"/>
        <w:ind w:firstLine="643" w:firstLineChars="200"/>
        <w:rPr>
          <w:rFonts w:ascii="楷体" w:hAnsi="楷体" w:eastAsia="楷体" w:cs="楷体"/>
          <w:b/>
          <w:bCs/>
          <w:sz w:val="32"/>
          <w:szCs w:val="32"/>
        </w:rPr>
      </w:pPr>
      <w:r>
        <w:rPr>
          <w:rFonts w:hint="eastAsia" w:ascii="楷体" w:hAnsi="楷体" w:eastAsia="楷体" w:cs="楷体"/>
          <w:b/>
          <w:bCs/>
          <w:sz w:val="32"/>
          <w:szCs w:val="32"/>
        </w:rPr>
        <w:t>第</w:t>
      </w:r>
      <w:r>
        <w:rPr>
          <w:rFonts w:hint="eastAsia" w:ascii="楷体" w:hAnsi="楷体" w:eastAsia="楷体" w:cs="楷体"/>
          <w:b/>
          <w:bCs/>
          <w:sz w:val="32"/>
          <w:szCs w:val="32"/>
          <w:lang w:val="en-US" w:eastAsia="zh-CN"/>
        </w:rPr>
        <w:t>九</w:t>
      </w:r>
      <w:r>
        <w:rPr>
          <w:rFonts w:hint="eastAsia" w:ascii="楷体" w:hAnsi="楷体" w:eastAsia="楷体" w:cs="楷体"/>
          <w:b/>
          <w:bCs/>
          <w:sz w:val="32"/>
          <w:szCs w:val="32"/>
        </w:rPr>
        <w:t>条 其它项目</w:t>
      </w:r>
    </w:p>
    <w:p w14:paraId="4D52C336">
      <w:pPr>
        <w:pStyle w:val="3"/>
        <w:numPr>
          <w:ilvl w:val="255"/>
          <w:numId w:val="0"/>
        </w:numPr>
        <w:spacing w:line="360" w:lineRule="auto"/>
        <w:ind w:firstLine="640" w:firstLineChars="200"/>
        <w:rPr>
          <w:rFonts w:cs="宋体"/>
          <w:sz w:val="32"/>
          <w:szCs w:val="32"/>
          <w:lang w:eastAsia="zh-CN"/>
        </w:rPr>
      </w:pPr>
      <w:r>
        <w:rPr>
          <w:rFonts w:hint="eastAsia" w:cs="宋体"/>
          <w:sz w:val="32"/>
          <w:szCs w:val="32"/>
          <w:lang w:eastAsia="zh-CN"/>
        </w:rPr>
        <w:t>学院将根据需要，本着提升学生国际性的宗旨，不断丰富项目类型，设置新的项目类别。学生如在第五、六、七、</w:t>
      </w:r>
      <w:r>
        <w:rPr>
          <w:rFonts w:hint="eastAsia" w:cs="宋体"/>
          <w:sz w:val="32"/>
          <w:szCs w:val="32"/>
          <w:lang w:val="en-US" w:eastAsia="zh-CN"/>
        </w:rPr>
        <w:t>八</w:t>
      </w:r>
      <w:r>
        <w:rPr>
          <w:rFonts w:hint="eastAsia" w:cs="宋体"/>
          <w:sz w:val="32"/>
          <w:szCs w:val="32"/>
          <w:lang w:eastAsia="zh-CN"/>
        </w:rPr>
        <w:t>条所涉项目之外有其他资助需求，亦可向学院提出申请报告，需阐明申请的特殊意义，学院党政联席会综合研判后决定是否纳入资助范围并确定资助标准。</w:t>
      </w:r>
    </w:p>
    <w:p w14:paraId="40AD7161">
      <w:pPr>
        <w:pStyle w:val="5"/>
        <w:shd w:val="clear" w:color="auto" w:fill="FFFFFF"/>
        <w:spacing w:before="156" w:beforeLines="50" w:beforeAutospacing="0" w:after="156" w:afterLines="50" w:afterAutospacing="0" w:line="360" w:lineRule="auto"/>
        <w:ind w:firstLine="720" w:firstLineChars="200"/>
        <w:jc w:val="center"/>
        <w:rPr>
          <w:rFonts w:ascii="黑体" w:hAnsi="黑体" w:eastAsia="黑体" w:cs="黑体"/>
          <w:sz w:val="36"/>
          <w:szCs w:val="36"/>
        </w:rPr>
      </w:pPr>
      <w:r>
        <w:rPr>
          <w:rFonts w:hint="eastAsia" w:ascii="黑体" w:hAnsi="黑体" w:eastAsia="黑体" w:cs="黑体"/>
          <w:sz w:val="36"/>
          <w:szCs w:val="36"/>
        </w:rPr>
        <w:t>第三章 组织实施</w:t>
      </w:r>
    </w:p>
    <w:p w14:paraId="73F316DF">
      <w:pPr>
        <w:pStyle w:val="3"/>
        <w:spacing w:line="360" w:lineRule="auto"/>
        <w:ind w:firstLine="640"/>
        <w:rPr>
          <w:rFonts w:cs="宋体"/>
          <w:sz w:val="32"/>
          <w:szCs w:val="32"/>
          <w:lang w:eastAsia="zh-CN"/>
        </w:rPr>
      </w:pPr>
      <w:r>
        <w:rPr>
          <w:rFonts w:hint="eastAsia" w:ascii="楷体" w:hAnsi="楷体" w:eastAsia="楷体" w:cs="楷体"/>
          <w:b/>
          <w:bCs/>
          <w:kern w:val="0"/>
          <w:sz w:val="32"/>
          <w:szCs w:val="32"/>
          <w:lang w:eastAsia="zh-CN"/>
        </w:rPr>
        <w:t>第</w:t>
      </w:r>
      <w:r>
        <w:rPr>
          <w:rFonts w:hint="eastAsia" w:ascii="楷体" w:hAnsi="楷体" w:eastAsia="楷体" w:cs="楷体"/>
          <w:b/>
          <w:bCs/>
          <w:kern w:val="0"/>
          <w:sz w:val="32"/>
          <w:szCs w:val="32"/>
          <w:lang w:val="en-US" w:eastAsia="zh-CN"/>
        </w:rPr>
        <w:t>十</w:t>
      </w:r>
      <w:r>
        <w:rPr>
          <w:rFonts w:hint="eastAsia" w:ascii="楷体" w:hAnsi="楷体" w:eastAsia="楷体" w:cs="楷体"/>
          <w:b/>
          <w:bCs/>
          <w:kern w:val="0"/>
          <w:sz w:val="32"/>
          <w:szCs w:val="32"/>
          <w:lang w:eastAsia="zh-CN"/>
        </w:rPr>
        <w:t>条</w:t>
      </w:r>
      <w:r>
        <w:rPr>
          <w:rFonts w:hint="eastAsia" w:cs="宋体"/>
          <w:sz w:val="32"/>
          <w:szCs w:val="32"/>
          <w:lang w:eastAsia="zh-CN"/>
        </w:rPr>
        <w:t xml:space="preserve"> 学院组建“航笙优才培养计划”工作小组，由教师代表、外事秘书、教务秘书等组成。工作小组负责对各项申请进行资料审查和前期评审，并侧重从专业角度对各项申请进行评审，出具评审意见。工作小组在召开评审会时，应不少于3名专业教师参加。</w:t>
      </w:r>
    </w:p>
    <w:p w14:paraId="4474AA7E">
      <w:pPr>
        <w:pStyle w:val="3"/>
        <w:spacing w:line="360" w:lineRule="auto"/>
        <w:ind w:firstLine="640"/>
        <w:rPr>
          <w:rFonts w:cs="宋体"/>
          <w:sz w:val="32"/>
          <w:szCs w:val="32"/>
          <w:lang w:eastAsia="zh-CN"/>
        </w:rPr>
      </w:pPr>
      <w:r>
        <w:rPr>
          <w:rFonts w:hint="eastAsia" w:ascii="楷体" w:hAnsi="楷体" w:eastAsia="楷体" w:cs="楷体"/>
          <w:b/>
          <w:bCs/>
          <w:kern w:val="0"/>
          <w:sz w:val="32"/>
          <w:szCs w:val="32"/>
          <w:lang w:eastAsia="zh-CN"/>
        </w:rPr>
        <w:t>第</w:t>
      </w:r>
      <w:r>
        <w:rPr>
          <w:rFonts w:hint="eastAsia" w:ascii="楷体" w:hAnsi="楷体" w:eastAsia="楷体" w:cs="楷体"/>
          <w:b/>
          <w:bCs/>
          <w:kern w:val="0"/>
          <w:sz w:val="32"/>
          <w:szCs w:val="32"/>
          <w:lang w:val="en-US" w:eastAsia="zh-CN"/>
        </w:rPr>
        <w:t>十一</w:t>
      </w:r>
      <w:r>
        <w:rPr>
          <w:rFonts w:hint="eastAsia" w:ascii="楷体" w:hAnsi="楷体" w:eastAsia="楷体" w:cs="楷体"/>
          <w:b/>
          <w:bCs/>
          <w:kern w:val="0"/>
          <w:sz w:val="32"/>
          <w:szCs w:val="32"/>
          <w:lang w:eastAsia="zh-CN"/>
        </w:rPr>
        <w:t>条</w:t>
      </w:r>
      <w:r>
        <w:rPr>
          <w:rFonts w:hint="eastAsia" w:cs="宋体"/>
          <w:sz w:val="32"/>
          <w:szCs w:val="32"/>
          <w:lang w:eastAsia="zh-CN"/>
        </w:rPr>
        <w:t xml:space="preserve"> 资助一般于项目完成并经考核通过后，以奖学金形式一次性发放。涉及资助学生以外的</w:t>
      </w:r>
      <w:r>
        <w:rPr>
          <w:rFonts w:hint="eastAsia" w:ascii="仿宋" w:hAnsi="仿宋" w:eastAsia="仿宋" w:cs="宋体"/>
          <w:b w:val="0"/>
          <w:bCs w:val="0"/>
          <w:sz w:val="32"/>
          <w:szCs w:val="32"/>
          <w:lang w:eastAsia="zh-CN"/>
        </w:rPr>
        <w:t>项目</w:t>
      </w:r>
      <w:r>
        <w:rPr>
          <w:rFonts w:hint="eastAsia" w:cs="宋体"/>
          <w:sz w:val="32"/>
          <w:szCs w:val="32"/>
          <w:lang w:eastAsia="zh-CN"/>
        </w:rPr>
        <w:t>经费按实际需要付款。</w:t>
      </w:r>
    </w:p>
    <w:p w14:paraId="2FEAB5D2">
      <w:pPr>
        <w:widowControl/>
        <w:numPr>
          <w:ilvl w:val="255"/>
          <w:numId w:val="0"/>
        </w:numPr>
        <w:spacing w:line="360" w:lineRule="auto"/>
        <w:ind w:firstLine="643" w:firstLineChars="200"/>
        <w:rPr>
          <w:rStyle w:val="11"/>
          <w:rFonts w:ascii="楷体" w:hAnsi="楷体" w:eastAsia="楷体" w:cs="楷体"/>
          <w:color w:val="000000"/>
          <w:kern w:val="0"/>
          <w:sz w:val="32"/>
          <w:szCs w:val="32"/>
        </w:rPr>
      </w:pPr>
      <w:r>
        <w:rPr>
          <w:rFonts w:hint="eastAsia" w:ascii="楷体" w:hAnsi="楷体" w:eastAsia="楷体" w:cs="楷体"/>
          <w:b/>
          <w:bCs/>
          <w:kern w:val="0"/>
          <w:sz w:val="32"/>
          <w:szCs w:val="32"/>
        </w:rPr>
        <w:t>第十</w:t>
      </w:r>
      <w:r>
        <w:rPr>
          <w:rFonts w:hint="eastAsia" w:ascii="楷体" w:hAnsi="楷体" w:eastAsia="楷体" w:cs="楷体"/>
          <w:b/>
          <w:bCs/>
          <w:kern w:val="0"/>
          <w:sz w:val="32"/>
          <w:szCs w:val="32"/>
          <w:lang w:val="en-US" w:eastAsia="zh-CN"/>
        </w:rPr>
        <w:t>二</w:t>
      </w:r>
      <w:r>
        <w:rPr>
          <w:rFonts w:hint="eastAsia" w:ascii="楷体" w:hAnsi="楷体" w:eastAsia="楷体" w:cs="楷体"/>
          <w:b/>
          <w:bCs/>
          <w:kern w:val="0"/>
          <w:sz w:val="32"/>
          <w:szCs w:val="32"/>
        </w:rPr>
        <w:t>条</w:t>
      </w:r>
      <w:r>
        <w:rPr>
          <w:rFonts w:hint="eastAsia" w:ascii="仿宋" w:hAnsi="仿宋" w:eastAsia="仿宋" w:cs="宋体"/>
          <w:sz w:val="32"/>
          <w:szCs w:val="32"/>
        </w:rPr>
        <w:t xml:space="preserve"> 工作流程</w:t>
      </w:r>
    </w:p>
    <w:p w14:paraId="7DD6876F">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本项目按以下流程开展：</w:t>
      </w:r>
    </w:p>
    <w:p w14:paraId="796E4392">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（一）学生申请。学生向对应学历层次的教务秘书提交《中国人民大学</w:t>
      </w:r>
      <w:r>
        <w:rPr>
          <w:rFonts w:ascii="仿宋" w:hAnsi="仿宋" w:eastAsia="仿宋"/>
          <w:sz w:val="32"/>
          <w:szCs w:val="32"/>
        </w:rPr>
        <w:t>“航笙优才培养计划”项目申请表</w:t>
      </w:r>
      <w:r>
        <w:rPr>
          <w:rFonts w:hint="eastAsia" w:ascii="仿宋" w:hAnsi="仿宋" w:eastAsia="仿宋"/>
          <w:sz w:val="32"/>
          <w:szCs w:val="32"/>
        </w:rPr>
        <w:t>》（见附件</w:t>
      </w:r>
      <w:r>
        <w:rPr>
          <w:rFonts w:ascii="仿宋" w:hAnsi="仿宋" w:eastAsia="仿宋"/>
          <w:sz w:val="32"/>
          <w:szCs w:val="32"/>
        </w:rPr>
        <w:t>2</w:t>
      </w:r>
      <w:r>
        <w:rPr>
          <w:rFonts w:hint="eastAsia" w:ascii="仿宋" w:hAnsi="仿宋" w:eastAsia="仿宋"/>
          <w:sz w:val="32"/>
          <w:szCs w:val="32"/>
        </w:rPr>
        <w:t>）及相关附件材料。为保证后续工作开展，请至少提前</w:t>
      </w:r>
      <w:r>
        <w:rPr>
          <w:rFonts w:ascii="仿宋" w:hAnsi="仿宋" w:eastAsia="仿宋"/>
          <w:sz w:val="32"/>
          <w:szCs w:val="32"/>
        </w:rPr>
        <w:t>45</w:t>
      </w:r>
      <w:r>
        <w:rPr>
          <w:rFonts w:hint="eastAsia" w:ascii="仿宋" w:hAnsi="仿宋" w:eastAsia="仿宋"/>
          <w:sz w:val="32"/>
          <w:szCs w:val="32"/>
        </w:rPr>
        <w:t>天提交材料。</w:t>
      </w:r>
    </w:p>
    <w:p w14:paraId="22A3D12D">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（二）材料初审。由教务秘书和外事秘书对申请材料进行初审，</w:t>
      </w:r>
      <w:r>
        <w:rPr>
          <w:rFonts w:hint="eastAsia" w:ascii="仿宋" w:hAnsi="仿宋" w:eastAsia="仿宋"/>
          <w:sz w:val="32"/>
          <w:szCs w:val="32"/>
          <w:lang w:val="en-US" w:eastAsia="zh-CN"/>
        </w:rPr>
        <w:t>党委老师进行学生政治把关，</w:t>
      </w:r>
      <w:r>
        <w:rPr>
          <w:rFonts w:hint="eastAsia" w:ascii="仿宋" w:hAnsi="仿宋" w:eastAsia="仿宋"/>
          <w:sz w:val="32"/>
          <w:szCs w:val="32"/>
        </w:rPr>
        <w:t>初审合格后提交“航笙优才培养计划”工作小组进行初评。</w:t>
      </w:r>
    </w:p>
    <w:p w14:paraId="5FBC544F">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评议选拔</w:t>
      </w:r>
      <w:r>
        <w:rPr>
          <w:rFonts w:hint="eastAsia" w:ascii="仿宋" w:hAnsi="仿宋" w:eastAsia="仿宋"/>
          <w:sz w:val="32"/>
          <w:szCs w:val="32"/>
        </w:rPr>
        <w:t>。“航笙优才培养计划”工作小组接收材料后在</w:t>
      </w:r>
      <w:r>
        <w:rPr>
          <w:rFonts w:ascii="仿宋" w:hAnsi="仿宋" w:eastAsia="仿宋"/>
          <w:sz w:val="32"/>
          <w:szCs w:val="32"/>
        </w:rPr>
        <w:t>15</w:t>
      </w:r>
      <w:r>
        <w:rPr>
          <w:rFonts w:hint="eastAsia" w:ascii="仿宋" w:hAnsi="仿宋" w:eastAsia="仿宋"/>
          <w:sz w:val="32"/>
          <w:szCs w:val="32"/>
        </w:rPr>
        <w:t>个工作日内对申请者进行评议，拟定资助建议方案，提交学院党委会和党政联席会。工作小组应召开评审会议，采取面试、资料审查等形式对申请者进行综合评价、择优选拔。</w:t>
      </w:r>
    </w:p>
    <w:p w14:paraId="21065E2E">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（四）学院审议。学院党委会对“航笙优才培养计划”工作小组拟定的拟资助人选把政治关，党政联席会审议形成最终资助方案。</w:t>
      </w:r>
    </w:p>
    <w:p w14:paraId="3EF477F7">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（五）</w:t>
      </w:r>
      <w:r>
        <w:rPr>
          <w:rFonts w:ascii="仿宋" w:hAnsi="仿宋" w:eastAsia="仿宋"/>
          <w:sz w:val="32"/>
          <w:szCs w:val="32"/>
        </w:rPr>
        <w:t>公示</w:t>
      </w:r>
      <w:r>
        <w:rPr>
          <w:rFonts w:hint="eastAsia" w:ascii="仿宋" w:hAnsi="仿宋" w:eastAsia="仿宋"/>
          <w:sz w:val="32"/>
          <w:szCs w:val="32"/>
        </w:rPr>
        <w:t>。</w:t>
      </w:r>
      <w:r>
        <w:rPr>
          <w:rFonts w:ascii="仿宋" w:hAnsi="仿宋" w:eastAsia="仿宋"/>
          <w:sz w:val="32"/>
          <w:szCs w:val="32"/>
        </w:rPr>
        <w:t>学院公示获资助的学生名单</w:t>
      </w:r>
      <w:r>
        <w:rPr>
          <w:rFonts w:hint="eastAsia" w:ascii="仿宋" w:hAnsi="仿宋" w:eastAsia="仿宋"/>
          <w:sz w:val="32"/>
          <w:szCs w:val="32"/>
        </w:rPr>
        <w:t>，公示时间不少于3天</w:t>
      </w:r>
      <w:r>
        <w:rPr>
          <w:rFonts w:ascii="仿宋" w:hAnsi="仿宋" w:eastAsia="仿宋"/>
          <w:sz w:val="32"/>
          <w:szCs w:val="32"/>
        </w:rPr>
        <w:t>。</w:t>
      </w:r>
    </w:p>
    <w:p w14:paraId="2718D1E2">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六）出国备案。获得资助资格的学生按要求参加行前培训并完成行前谈话，签署《中国人民大学社会学院学生出国（境）申请登记表》《中国人民大学社会学院学生出国承诺书》等材料，并向学院党团学、办公室和教务科备案。外事秘书为获得资助的学生办理出国相关手续。</w:t>
      </w:r>
    </w:p>
    <w:p w14:paraId="59C6D719">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（七）回国备案。获得资助资格的学生回国后，应及时向学院办公室、党团学办公室和教务科备案，完成归国后教育，并向外事秘书提交相关考核和报销材料。</w:t>
      </w:r>
    </w:p>
    <w:p w14:paraId="09F56ED3">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（八）考核。学院将对照考核要求对申请者进行考核。</w:t>
      </w:r>
    </w:p>
    <w:p w14:paraId="37363433">
      <w:pPr>
        <w:pStyle w:val="5"/>
        <w:shd w:val="clear" w:color="auto" w:fill="FFFFFF"/>
        <w:spacing w:before="0" w:beforeAutospacing="0" w:after="0" w:afterAutospacing="0" w:line="360" w:lineRule="auto"/>
        <w:ind w:firstLine="640" w:firstLineChars="200"/>
        <w:rPr>
          <w:rStyle w:val="11"/>
          <w:rFonts w:ascii="黑体" w:hAnsi="黑体" w:eastAsia="黑体" w:cs="Helvetica"/>
          <w:color w:val="000000"/>
          <w:sz w:val="32"/>
          <w:szCs w:val="32"/>
        </w:rPr>
      </w:pPr>
      <w:r>
        <w:rPr>
          <w:rFonts w:hint="eastAsia" w:ascii="仿宋" w:hAnsi="仿宋" w:eastAsia="仿宋"/>
          <w:sz w:val="32"/>
          <w:szCs w:val="32"/>
        </w:rPr>
        <w:t>（九）奖学金发放。通过考核者学院按照学校财务要求发放奖学金。</w:t>
      </w:r>
    </w:p>
    <w:p w14:paraId="00165E1A">
      <w:pPr>
        <w:widowControl/>
        <w:tabs>
          <w:tab w:val="left" w:pos="4761"/>
        </w:tabs>
        <w:spacing w:line="360" w:lineRule="auto"/>
        <w:ind w:firstLine="643" w:firstLineChars="200"/>
        <w:jc w:val="left"/>
        <w:rPr>
          <w:rStyle w:val="11"/>
          <w:rFonts w:ascii="黑体" w:hAnsi="黑体" w:eastAsia="黑体" w:cs="Helvetica"/>
          <w:color w:val="000000"/>
          <w:kern w:val="0"/>
          <w:sz w:val="32"/>
          <w:szCs w:val="32"/>
        </w:rPr>
      </w:pPr>
      <w:r>
        <w:rPr>
          <w:rFonts w:hint="eastAsia" w:ascii="楷体" w:hAnsi="楷体" w:eastAsia="楷体" w:cs="楷体"/>
          <w:b/>
          <w:bCs/>
          <w:kern w:val="0"/>
          <w:sz w:val="32"/>
          <w:szCs w:val="32"/>
        </w:rPr>
        <w:t>第十</w:t>
      </w:r>
      <w:r>
        <w:rPr>
          <w:rFonts w:hint="eastAsia" w:ascii="楷体" w:hAnsi="楷体" w:eastAsia="楷体" w:cs="楷体"/>
          <w:b/>
          <w:bCs/>
          <w:kern w:val="0"/>
          <w:sz w:val="32"/>
          <w:szCs w:val="32"/>
          <w:lang w:val="en-US" w:eastAsia="zh-CN"/>
        </w:rPr>
        <w:t>三</w:t>
      </w:r>
      <w:r>
        <w:rPr>
          <w:rFonts w:hint="eastAsia" w:ascii="楷体" w:hAnsi="楷体" w:eastAsia="楷体" w:cs="楷体"/>
          <w:b/>
          <w:bCs/>
          <w:kern w:val="0"/>
          <w:sz w:val="32"/>
          <w:szCs w:val="32"/>
        </w:rPr>
        <w:t>条</w:t>
      </w:r>
      <w:r>
        <w:rPr>
          <w:rFonts w:hint="eastAsia" w:ascii="仿宋" w:hAnsi="仿宋" w:eastAsia="仿宋" w:cs="宋体"/>
          <w:sz w:val="32"/>
          <w:szCs w:val="32"/>
        </w:rPr>
        <w:t xml:space="preserve"> 注意事项</w:t>
      </w:r>
      <w:r>
        <w:rPr>
          <w:rStyle w:val="11"/>
          <w:rFonts w:hint="eastAsia" w:ascii="黑体" w:hAnsi="黑体" w:eastAsia="黑体" w:cs="Helvetica"/>
          <w:color w:val="000000"/>
          <w:kern w:val="0"/>
          <w:sz w:val="32"/>
          <w:szCs w:val="32"/>
        </w:rPr>
        <w:tab/>
      </w:r>
    </w:p>
    <w:p w14:paraId="6DA7393C">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（一）申请人存在提交申请材料不齐全，未及时按要求提交相关材料等情况，学院将不予资助。申请材料弄虚作假，无论何时一经发现立即取消资助。</w:t>
      </w:r>
    </w:p>
    <w:p w14:paraId="12E349BC">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（二）获取资助资格但非因不可抗力原因未成行的学生，取消奖学金。</w:t>
      </w:r>
    </w:p>
    <w:p w14:paraId="79212EF6">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（三）在同等条件下，本办法优先资助初次申请项目的学生。</w:t>
      </w:r>
    </w:p>
    <w:p w14:paraId="59960B2C">
      <w:pPr>
        <w:pStyle w:val="5"/>
        <w:shd w:val="clear" w:color="auto" w:fill="FFFFFF"/>
        <w:spacing w:before="0" w:beforeAutospacing="0" w:after="0" w:afterAutospacing="0" w:line="360" w:lineRule="auto"/>
        <w:ind w:firstLine="640" w:firstLineChars="200"/>
        <w:rPr>
          <w:rFonts w:ascii="仿宋" w:hAnsi="仿宋" w:eastAsia="仿宋"/>
          <w:sz w:val="32"/>
          <w:szCs w:val="32"/>
        </w:rPr>
      </w:pPr>
      <w:r>
        <w:rPr>
          <w:rFonts w:hint="eastAsia" w:ascii="仿宋" w:hAnsi="仿宋" w:eastAsia="仿宋"/>
          <w:sz w:val="32"/>
          <w:szCs w:val="32"/>
        </w:rPr>
        <w:t>（四）对于同一个出国行程，学生不得重复申请学院、学校及国内外其它资助。</w:t>
      </w:r>
    </w:p>
    <w:p w14:paraId="45EC4057">
      <w:pPr>
        <w:pStyle w:val="5"/>
        <w:shd w:val="clear" w:color="auto" w:fill="FFFFFF"/>
        <w:spacing w:before="156" w:beforeLines="50" w:beforeAutospacing="0" w:after="156" w:afterLines="50" w:afterAutospacing="0" w:line="360" w:lineRule="auto"/>
        <w:ind w:firstLine="720" w:firstLineChars="200"/>
        <w:jc w:val="center"/>
        <w:rPr>
          <w:rFonts w:ascii="黑体" w:hAnsi="黑体" w:eastAsia="黑体" w:cs="黑体"/>
          <w:sz w:val="36"/>
          <w:szCs w:val="36"/>
        </w:rPr>
      </w:pPr>
      <w:r>
        <w:rPr>
          <w:rFonts w:hint="eastAsia" w:ascii="黑体" w:hAnsi="黑体" w:eastAsia="黑体" w:cs="黑体"/>
          <w:sz w:val="36"/>
          <w:szCs w:val="36"/>
        </w:rPr>
        <w:t>第四章 附则</w:t>
      </w:r>
    </w:p>
    <w:p w14:paraId="2692EE06">
      <w:pPr>
        <w:pStyle w:val="5"/>
        <w:shd w:val="clear" w:color="auto" w:fill="FFFFFF"/>
        <w:spacing w:before="0" w:beforeAutospacing="0" w:after="0" w:afterAutospacing="0" w:line="360" w:lineRule="auto"/>
        <w:ind w:firstLine="643" w:firstLineChars="200"/>
        <w:rPr>
          <w:rFonts w:ascii="仿宋" w:hAnsi="仿宋" w:eastAsia="仿宋"/>
          <w:sz w:val="32"/>
          <w:szCs w:val="32"/>
        </w:rPr>
      </w:pPr>
      <w:r>
        <w:rPr>
          <w:rFonts w:hint="eastAsia" w:ascii="楷体" w:hAnsi="楷体" w:eastAsia="楷体" w:cs="楷体"/>
          <w:b/>
          <w:bCs/>
          <w:sz w:val="32"/>
          <w:szCs w:val="32"/>
        </w:rPr>
        <w:t>第十</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条</w:t>
      </w:r>
      <w:r>
        <w:rPr>
          <w:rFonts w:hint="eastAsia" w:ascii="仿宋" w:hAnsi="仿宋" w:eastAsia="仿宋"/>
          <w:sz w:val="32"/>
          <w:szCs w:val="32"/>
        </w:rPr>
        <w:t xml:space="preserve"> 本办法自2025年10月20日起实施，原《中国人民大学社会学院“航笙优才培养计划”资助实施方案（试行）》同时废止。</w:t>
      </w:r>
    </w:p>
    <w:p w14:paraId="5C57E30D">
      <w:pPr>
        <w:pStyle w:val="5"/>
        <w:shd w:val="clear" w:color="auto" w:fill="FFFFFF"/>
        <w:spacing w:before="0" w:beforeAutospacing="0" w:after="0" w:afterAutospacing="0" w:line="360" w:lineRule="auto"/>
        <w:ind w:firstLine="643" w:firstLineChars="200"/>
        <w:rPr>
          <w:rFonts w:ascii="仿宋" w:hAnsi="仿宋" w:eastAsia="仿宋"/>
          <w:sz w:val="32"/>
          <w:szCs w:val="32"/>
        </w:rPr>
      </w:pPr>
      <w:r>
        <w:rPr>
          <w:rFonts w:hint="eastAsia" w:ascii="楷体" w:hAnsi="楷体" w:eastAsia="楷体" w:cs="楷体"/>
          <w:b/>
          <w:bCs/>
          <w:sz w:val="32"/>
          <w:szCs w:val="32"/>
        </w:rPr>
        <w:t>第十</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条</w:t>
      </w:r>
      <w:r>
        <w:rPr>
          <w:rFonts w:hint="eastAsia" w:ascii="仿宋" w:hAnsi="仿宋" w:eastAsia="仿宋"/>
          <w:sz w:val="32"/>
          <w:szCs w:val="32"/>
        </w:rPr>
        <w:t xml:space="preserve"> 本办法由学院党政联席会负责解释。</w:t>
      </w:r>
    </w:p>
    <w:p w14:paraId="4663A932">
      <w:pPr>
        <w:pStyle w:val="5"/>
        <w:shd w:val="clear" w:color="auto" w:fill="FFFFFF"/>
        <w:spacing w:before="0" w:beforeAutospacing="0" w:after="0" w:afterAutospacing="0" w:line="360" w:lineRule="auto"/>
        <w:ind w:firstLine="643" w:firstLineChars="200"/>
        <w:jc w:val="both"/>
        <w:rPr>
          <w:rFonts w:ascii="仿宋" w:hAnsi="仿宋" w:eastAsia="仿宋"/>
          <w:b/>
          <w:sz w:val="32"/>
        </w:rPr>
      </w:pPr>
    </w:p>
    <w:p w14:paraId="226FE210">
      <w:pPr>
        <w:pStyle w:val="5"/>
        <w:shd w:val="clear" w:color="auto" w:fill="FFFFFF"/>
        <w:spacing w:before="0" w:beforeAutospacing="0" w:after="0" w:afterAutospacing="0" w:line="360" w:lineRule="auto"/>
        <w:jc w:val="both"/>
        <w:rPr>
          <w:rStyle w:val="11"/>
          <w:rFonts w:ascii="黑体" w:hAnsi="黑体" w:eastAsia="黑体" w:cs="黑体"/>
          <w:color w:val="000000"/>
          <w:sz w:val="32"/>
          <w:szCs w:val="32"/>
        </w:rPr>
      </w:pPr>
      <w:r>
        <w:rPr>
          <w:rStyle w:val="11"/>
          <w:rFonts w:hint="eastAsia" w:ascii="黑体" w:hAnsi="黑体" w:eastAsia="黑体" w:cs="黑体"/>
          <w:color w:val="000000"/>
          <w:sz w:val="32"/>
          <w:szCs w:val="32"/>
        </w:rPr>
        <w:t>附件：</w:t>
      </w:r>
    </w:p>
    <w:p w14:paraId="607E4517">
      <w:pPr>
        <w:pStyle w:val="5"/>
        <w:shd w:val="clear" w:color="auto" w:fill="FFFFFF"/>
        <w:spacing w:before="0" w:beforeAutospacing="0" w:after="0" w:afterAutospacing="0" w:line="360" w:lineRule="auto"/>
        <w:ind w:firstLine="560" w:firstLineChars="200"/>
        <w:jc w:val="both"/>
        <w:rPr>
          <w:rFonts w:ascii="楷体" w:hAnsi="楷体" w:eastAsia="楷体" w:cs="楷体"/>
          <w:bCs/>
          <w:sz w:val="28"/>
          <w:szCs w:val="28"/>
        </w:rPr>
      </w:pPr>
      <w:r>
        <w:rPr>
          <w:rFonts w:hint="eastAsia" w:ascii="楷体" w:hAnsi="楷体" w:eastAsia="楷体" w:cs="楷体"/>
          <w:bCs/>
          <w:sz w:val="28"/>
          <w:szCs w:val="28"/>
        </w:rPr>
        <w:t>1.中国人民大学社会学院拟资助国际会议清单</w:t>
      </w:r>
    </w:p>
    <w:p w14:paraId="589F5A81">
      <w:pPr>
        <w:pStyle w:val="5"/>
        <w:shd w:val="clear" w:color="auto" w:fill="FFFFFF"/>
        <w:spacing w:before="0" w:beforeAutospacing="0" w:after="0" w:afterAutospacing="0" w:line="360" w:lineRule="auto"/>
        <w:ind w:firstLine="560" w:firstLineChars="200"/>
        <w:jc w:val="both"/>
        <w:rPr>
          <w:rFonts w:ascii="楷体" w:hAnsi="楷体" w:eastAsia="楷体" w:cs="楷体"/>
          <w:bCs/>
          <w:sz w:val="28"/>
          <w:szCs w:val="28"/>
        </w:rPr>
      </w:pPr>
    </w:p>
    <w:p w14:paraId="559339EC">
      <w:pPr>
        <w:pStyle w:val="5"/>
        <w:shd w:val="clear" w:color="auto" w:fill="FFFFFF"/>
        <w:spacing w:before="0" w:beforeAutospacing="0" w:after="0" w:afterAutospacing="0" w:line="360" w:lineRule="auto"/>
        <w:ind w:firstLine="560" w:firstLineChars="200"/>
        <w:jc w:val="both"/>
        <w:rPr>
          <w:rFonts w:ascii="楷体" w:hAnsi="楷体" w:eastAsia="楷体" w:cs="楷体"/>
          <w:bCs/>
          <w:sz w:val="28"/>
          <w:szCs w:val="28"/>
        </w:rPr>
      </w:pPr>
      <w:r>
        <w:rPr>
          <w:rFonts w:ascii="楷体" w:hAnsi="楷体" w:eastAsia="楷体" w:cs="楷体"/>
          <w:bCs/>
          <w:sz w:val="28"/>
          <w:szCs w:val="28"/>
        </w:rPr>
        <w:t>2.</w:t>
      </w:r>
      <w:r>
        <w:rPr>
          <w:rFonts w:hint="eastAsia" w:ascii="楷体" w:hAnsi="楷体" w:eastAsia="楷体" w:cs="楷体"/>
          <w:bCs/>
          <w:sz w:val="28"/>
          <w:szCs w:val="28"/>
        </w:rPr>
        <w:t>中国人民大学社会学院“航笙优才培养计划”申请表</w:t>
      </w:r>
    </w:p>
    <w:p w14:paraId="2D3D34A9">
      <w:pPr>
        <w:pStyle w:val="5"/>
        <w:shd w:val="clear" w:color="auto" w:fill="FFFFFF"/>
        <w:spacing w:before="0" w:beforeAutospacing="0" w:after="0" w:afterAutospacing="0" w:line="360" w:lineRule="auto"/>
        <w:ind w:firstLine="643" w:firstLineChars="200"/>
        <w:rPr>
          <w:rFonts w:ascii="仿宋" w:hAnsi="仿宋" w:eastAsia="仿宋"/>
          <w:b/>
          <w:sz w:val="32"/>
        </w:rPr>
      </w:pPr>
    </w:p>
    <w:p w14:paraId="36D94ABD">
      <w:pPr>
        <w:pStyle w:val="5"/>
        <w:shd w:val="clear" w:color="auto" w:fill="FFFFFF"/>
        <w:spacing w:before="0" w:beforeAutospacing="0" w:after="0" w:afterAutospacing="0" w:line="360" w:lineRule="auto"/>
        <w:jc w:val="right"/>
        <w:rPr>
          <w:rFonts w:ascii="仿宋" w:hAnsi="仿宋" w:eastAsia="仿宋"/>
          <w:sz w:val="32"/>
        </w:rPr>
      </w:pPr>
      <w:r>
        <w:rPr>
          <w:rFonts w:hint="eastAsia" w:ascii="仿宋" w:hAnsi="仿宋" w:eastAsia="仿宋"/>
          <w:sz w:val="32"/>
        </w:rPr>
        <w:t>中国人民大学社会学院</w:t>
      </w:r>
    </w:p>
    <w:p w14:paraId="5CD982F0">
      <w:pPr>
        <w:pStyle w:val="5"/>
        <w:shd w:val="clear" w:color="auto" w:fill="FFFFFF"/>
        <w:spacing w:before="0" w:beforeAutospacing="0" w:after="0" w:afterAutospacing="0" w:line="360" w:lineRule="auto"/>
        <w:jc w:val="center"/>
        <w:rPr>
          <w:rFonts w:ascii="仿宋" w:hAnsi="仿宋" w:eastAsia="仿宋"/>
          <w:sz w:val="32"/>
        </w:rPr>
      </w:pPr>
      <w:r>
        <w:rPr>
          <w:rFonts w:hint="eastAsia" w:ascii="仿宋" w:hAnsi="仿宋" w:eastAsia="仿宋"/>
          <w:sz w:val="32"/>
        </w:rPr>
        <w:t xml:space="preserve">                            </w:t>
      </w:r>
      <w:r>
        <w:rPr>
          <w:rFonts w:hint="eastAsia" w:ascii="仿宋" w:hAnsi="仿宋" w:eastAsia="仿宋"/>
          <w:sz w:val="32"/>
          <w:lang w:val="en-US" w:eastAsia="zh-CN"/>
        </w:rPr>
        <w:t>2025</w:t>
      </w:r>
      <w:r>
        <w:rPr>
          <w:rFonts w:ascii="仿宋" w:hAnsi="仿宋" w:eastAsia="仿宋"/>
          <w:sz w:val="32"/>
        </w:rPr>
        <w:t>年</w:t>
      </w:r>
      <w:r>
        <w:rPr>
          <w:rFonts w:hint="eastAsia" w:ascii="仿宋" w:hAnsi="仿宋" w:eastAsia="仿宋"/>
          <w:sz w:val="32"/>
          <w:lang w:val="en-US" w:eastAsia="zh-CN"/>
        </w:rPr>
        <w:t xml:space="preserve"> 10</w:t>
      </w:r>
      <w:r>
        <w:rPr>
          <w:rFonts w:hint="eastAsia" w:ascii="仿宋" w:hAnsi="仿宋" w:eastAsia="仿宋"/>
          <w:sz w:val="32"/>
        </w:rPr>
        <w:t>月</w:t>
      </w:r>
    </w:p>
    <w:p w14:paraId="5C4189E6">
      <w:pPr>
        <w:shd w:val="clear" w:color="auto" w:fill="FFFFFF"/>
        <w:spacing w:line="360" w:lineRule="auto"/>
        <w:rPr>
          <w:rFonts w:ascii="仿宋" w:hAnsi="仿宋" w:eastAsia="仿宋"/>
          <w:b/>
          <w:sz w:val="32"/>
        </w:rPr>
      </w:pPr>
      <w:r>
        <w:rPr>
          <w:rFonts w:hint="eastAsia" w:ascii="仿宋" w:hAnsi="仿宋" w:eastAsia="仿宋"/>
          <w:b/>
          <w:sz w:val="32"/>
        </w:rPr>
        <w:br w:type="page"/>
      </w:r>
    </w:p>
    <w:p w14:paraId="42EFC3C4">
      <w:pPr>
        <w:pStyle w:val="5"/>
        <w:shd w:val="clear" w:color="auto" w:fill="FFFFFF"/>
        <w:spacing w:before="0" w:beforeAutospacing="0" w:after="0" w:afterAutospacing="0" w:line="360" w:lineRule="auto"/>
        <w:rPr>
          <w:rFonts w:ascii="仿宋" w:hAnsi="仿宋" w:eastAsia="仿宋"/>
          <w:b/>
          <w:sz w:val="32"/>
        </w:rPr>
      </w:pPr>
      <w:r>
        <w:rPr>
          <w:rFonts w:hint="eastAsia" w:ascii="仿宋" w:hAnsi="仿宋" w:eastAsia="仿宋"/>
          <w:b/>
          <w:sz w:val="32"/>
        </w:rPr>
        <w:t>附件1：</w:t>
      </w:r>
    </w:p>
    <w:p w14:paraId="7BE9630D">
      <w:pPr>
        <w:spacing w:line="360" w:lineRule="auto"/>
        <w:ind w:firstLine="3213" w:firstLineChars="1000"/>
        <w:rPr>
          <w:rFonts w:ascii="方正小标宋简体" w:hAnsi="Times New Roman" w:eastAsia="方正小标宋简体" w:cs="Times New Roman"/>
          <w:b/>
          <w:bCs/>
          <w:sz w:val="32"/>
          <w:szCs w:val="32"/>
        </w:rPr>
      </w:pPr>
      <w:r>
        <w:rPr>
          <w:rFonts w:hint="eastAsia" w:ascii="方正小标宋简体" w:hAnsi="Times New Roman" w:eastAsia="方正小标宋简体" w:cs="Times New Roman"/>
          <w:b/>
          <w:bCs/>
          <w:sz w:val="32"/>
          <w:szCs w:val="32"/>
        </w:rPr>
        <w:t>拟资助国际会议清单</w:t>
      </w:r>
    </w:p>
    <w:p w14:paraId="5BB8860F">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A</w:t>
      </w:r>
      <w:r>
        <w:rPr>
          <w:rFonts w:hint="eastAsia" w:ascii="Times New Roman" w:hAnsi="Times New Roman" w:cs="Times New Roman"/>
          <w:sz w:val="24"/>
          <w:szCs w:val="24"/>
        </w:rPr>
        <w:t xml:space="preserve">merican Anthropological Association </w:t>
      </w:r>
      <w:r>
        <w:rPr>
          <w:rFonts w:ascii="Times New Roman" w:hAnsi="Times New Roman" w:cs="Times New Roman"/>
          <w:sz w:val="24"/>
          <w:szCs w:val="24"/>
        </w:rPr>
        <w:t>A</w:t>
      </w:r>
      <w:r>
        <w:rPr>
          <w:rFonts w:hint="eastAsia" w:ascii="Times New Roman" w:hAnsi="Times New Roman" w:cs="Times New Roman"/>
          <w:sz w:val="24"/>
          <w:szCs w:val="24"/>
        </w:rPr>
        <w:t xml:space="preserve">nnual </w:t>
      </w:r>
      <w:r>
        <w:rPr>
          <w:rFonts w:ascii="Times New Roman" w:hAnsi="Times New Roman" w:cs="Times New Roman"/>
          <w:sz w:val="24"/>
          <w:szCs w:val="24"/>
        </w:rPr>
        <w:t>M</w:t>
      </w:r>
      <w:r>
        <w:rPr>
          <w:rFonts w:hint="eastAsia" w:ascii="Times New Roman" w:hAnsi="Times New Roman" w:cs="Times New Roman"/>
          <w:sz w:val="24"/>
          <w:szCs w:val="24"/>
        </w:rPr>
        <w:t>eeting (AAA)</w:t>
      </w:r>
    </w:p>
    <w:p w14:paraId="7DC5DA81">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American Economic Association Annual Meeting (AEA)</w:t>
      </w:r>
    </w:p>
    <w:p w14:paraId="7CC3C50A">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American Sociological Association Annual Conference (ASA)</w:t>
      </w:r>
    </w:p>
    <w:p w14:paraId="307EF30B">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 xml:space="preserve">Allied Social Science Associations Annual Meeting </w:t>
      </w:r>
      <w:r>
        <w:rPr>
          <w:rFonts w:hint="eastAsia" w:ascii="Times New Roman" w:hAnsi="Times New Roman" w:cs="Times New Roman"/>
          <w:sz w:val="24"/>
          <w:szCs w:val="24"/>
        </w:rPr>
        <w:t>(</w:t>
      </w:r>
      <w:r>
        <w:rPr>
          <w:rFonts w:ascii="Times New Roman" w:hAnsi="Times New Roman" w:cs="Times New Roman"/>
          <w:sz w:val="24"/>
          <w:szCs w:val="24"/>
        </w:rPr>
        <w:t>ASSA)</w:t>
      </w:r>
    </w:p>
    <w:p w14:paraId="33B31F80">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Association for Public Policy Analysis &amp; Management (APPAM)</w:t>
      </w:r>
    </w:p>
    <w:p w14:paraId="4EEDAE2D">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British Sociology Association (BSA)</w:t>
      </w:r>
    </w:p>
    <w:p w14:paraId="1563CAAA">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 xml:space="preserve">British Sociology Association Medical Sociology Conference </w:t>
      </w:r>
      <w:r>
        <w:rPr>
          <w:rFonts w:hint="eastAsia" w:ascii="Times New Roman" w:hAnsi="Times New Roman" w:cs="Times New Roman"/>
          <w:sz w:val="24"/>
          <w:szCs w:val="24"/>
        </w:rPr>
        <w:t>(</w:t>
      </w:r>
      <w:r>
        <w:rPr>
          <w:rFonts w:ascii="Times New Roman" w:hAnsi="Times New Roman" w:cs="Times New Roman"/>
          <w:sz w:val="24"/>
          <w:szCs w:val="24"/>
        </w:rPr>
        <w:t>BSA-MS)</w:t>
      </w:r>
    </w:p>
    <w:p w14:paraId="3FB5D593">
      <w:pPr>
        <w:pStyle w:val="13"/>
        <w:numPr>
          <w:ilvl w:val="0"/>
          <w:numId w:val="2"/>
        </w:numPr>
        <w:spacing w:line="360" w:lineRule="auto"/>
        <w:ind w:left="0" w:firstLineChars="0"/>
        <w:jc w:val="left"/>
        <w:rPr>
          <w:rFonts w:ascii="Times New Roman" w:hAnsi="Times New Roman" w:cs="Times New Roman"/>
          <w:sz w:val="24"/>
          <w:szCs w:val="24"/>
        </w:rPr>
      </w:pPr>
      <w:r>
        <w:rPr>
          <w:rFonts w:hint="eastAsia" w:ascii="Times New Roman" w:hAnsi="Times New Roman" w:cs="Times New Roman"/>
          <w:sz w:val="24"/>
          <w:szCs w:val="24"/>
        </w:rPr>
        <w:t xml:space="preserve">East Asian Anthropological Association </w:t>
      </w:r>
      <w:r>
        <w:rPr>
          <w:rFonts w:ascii="Times New Roman" w:hAnsi="Times New Roman" w:cs="Times New Roman"/>
          <w:sz w:val="24"/>
          <w:szCs w:val="24"/>
        </w:rPr>
        <w:t>A</w:t>
      </w:r>
      <w:r>
        <w:rPr>
          <w:rFonts w:hint="eastAsia" w:ascii="Times New Roman" w:hAnsi="Times New Roman" w:cs="Times New Roman"/>
          <w:sz w:val="24"/>
          <w:szCs w:val="24"/>
        </w:rPr>
        <w:t xml:space="preserve">nnual </w:t>
      </w:r>
      <w:r>
        <w:rPr>
          <w:rFonts w:ascii="Times New Roman" w:hAnsi="Times New Roman" w:cs="Times New Roman"/>
          <w:sz w:val="24"/>
          <w:szCs w:val="24"/>
        </w:rPr>
        <w:t>M</w:t>
      </w:r>
      <w:r>
        <w:rPr>
          <w:rFonts w:hint="eastAsia" w:ascii="Times New Roman" w:hAnsi="Times New Roman" w:cs="Times New Roman"/>
          <w:sz w:val="24"/>
          <w:szCs w:val="24"/>
        </w:rPr>
        <w:t>eeting (EAAA)</w:t>
      </w:r>
    </w:p>
    <w:p w14:paraId="1058B0E5">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European Association of Social Anthropologists (</w:t>
      </w:r>
      <w:r>
        <w:rPr>
          <w:rFonts w:hint="eastAsia" w:ascii="Times New Roman" w:hAnsi="Times New Roman" w:cs="Times New Roman"/>
          <w:sz w:val="24"/>
          <w:szCs w:val="24"/>
        </w:rPr>
        <w:t>EASA</w:t>
      </w:r>
      <w:r>
        <w:rPr>
          <w:rFonts w:ascii="Times New Roman" w:hAnsi="Times New Roman" w:cs="Times New Roman"/>
          <w:sz w:val="24"/>
          <w:szCs w:val="24"/>
        </w:rPr>
        <w:t>)</w:t>
      </w:r>
    </w:p>
    <w:p w14:paraId="64199F57">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East Asian Social Policy Network annual conference (EASP)</w:t>
      </w:r>
    </w:p>
    <w:p w14:paraId="4853A951">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European Conference for Social Work Research (ECSWR)</w:t>
      </w:r>
    </w:p>
    <w:p w14:paraId="6EA344E3">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 xml:space="preserve">European Public Health Conference </w:t>
      </w:r>
      <w:r>
        <w:rPr>
          <w:rFonts w:hint="eastAsia" w:ascii="Times New Roman" w:hAnsi="Times New Roman" w:cs="Times New Roman"/>
          <w:sz w:val="24"/>
          <w:szCs w:val="24"/>
        </w:rPr>
        <w:t>(</w:t>
      </w:r>
      <w:r>
        <w:rPr>
          <w:rFonts w:ascii="Times New Roman" w:hAnsi="Times New Roman" w:cs="Times New Roman"/>
          <w:sz w:val="24"/>
          <w:szCs w:val="24"/>
        </w:rPr>
        <w:t>EPH)</w:t>
      </w:r>
    </w:p>
    <w:p w14:paraId="20A6CAD5">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IZA Annual Conference</w:t>
      </w:r>
    </w:p>
    <w:p w14:paraId="1EB62249">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Interdisciplinary Association for Population Health Science Conference (IAPHS)</w:t>
      </w:r>
    </w:p>
    <w:p w14:paraId="7ACE384D">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International Federation of Social Workers (IFSW)</w:t>
      </w:r>
    </w:p>
    <w:p w14:paraId="6C7E838C">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International Sociological Association Research Committee 28 Social Stratification and Mobility Spring and Summer Conferences (RC28)</w:t>
      </w:r>
    </w:p>
    <w:p w14:paraId="60DE9076">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International Association for Gerontology &amp; Geriatrics World Congress (IAGG)</w:t>
      </w:r>
    </w:p>
    <w:p w14:paraId="7D51715F">
      <w:pPr>
        <w:pStyle w:val="13"/>
        <w:numPr>
          <w:ilvl w:val="0"/>
          <w:numId w:val="2"/>
        </w:numPr>
        <w:spacing w:line="360" w:lineRule="auto"/>
        <w:ind w:left="0" w:firstLineChars="0"/>
        <w:jc w:val="left"/>
        <w:rPr>
          <w:rFonts w:ascii="Times New Roman" w:hAnsi="Times New Roman" w:cs="Times New Roman"/>
          <w:sz w:val="24"/>
          <w:szCs w:val="24"/>
        </w:rPr>
      </w:pPr>
      <w:r>
        <w:rPr>
          <w:rFonts w:hint="eastAsia" w:ascii="Times New Roman" w:hAnsi="Times New Roman" w:cs="Times New Roman"/>
          <w:sz w:val="24"/>
          <w:szCs w:val="24"/>
        </w:rPr>
        <w:t>I</w:t>
      </w:r>
      <w:r>
        <w:rPr>
          <w:rFonts w:ascii="Times New Roman" w:hAnsi="Times New Roman" w:cs="Times New Roman"/>
          <w:sz w:val="24"/>
          <w:szCs w:val="24"/>
        </w:rPr>
        <w:t>nternational Union of Anthropological and Ethnological Sciences (IUAES)</w:t>
      </w:r>
    </w:p>
    <w:p w14:paraId="6D95C3F2">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Society for Social Work and Research (SSWR)</w:t>
      </w:r>
    </w:p>
    <w:p w14:paraId="1CAF1D8C">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The Gerontological Society of America Annual Meeting (GSA)</w:t>
      </w:r>
    </w:p>
    <w:p w14:paraId="3034BEF5">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The Population Association of America’s Annual Meeting (PAA)</w:t>
      </w:r>
    </w:p>
    <w:p w14:paraId="71776843">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The Social Science History Association (SSHA)</w:t>
      </w:r>
    </w:p>
    <w:p w14:paraId="61FF6303">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The Society for the Advancement of Socio-Economics (SASE)</w:t>
      </w:r>
    </w:p>
    <w:p w14:paraId="554E058F">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Social Policy Association annual conference (SPA)</w:t>
      </w:r>
    </w:p>
    <w:p w14:paraId="1A7D9E65">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American Folklore Society Annual Conference</w:t>
      </w:r>
    </w:p>
    <w:p w14:paraId="7EA03429">
      <w:pPr>
        <w:pStyle w:val="13"/>
        <w:numPr>
          <w:ilvl w:val="0"/>
          <w:numId w:val="2"/>
        </w:numPr>
        <w:spacing w:line="360" w:lineRule="auto"/>
        <w:ind w:left="0" w:firstLineChars="0"/>
        <w:jc w:val="left"/>
        <w:rPr>
          <w:rFonts w:ascii="Times New Roman" w:hAnsi="Times New Roman" w:cs="Times New Roman"/>
          <w:sz w:val="24"/>
          <w:szCs w:val="24"/>
        </w:rPr>
      </w:pPr>
      <w:r>
        <w:rPr>
          <w:rFonts w:ascii="Times New Roman" w:hAnsi="Times New Roman" w:cs="Times New Roman"/>
          <w:sz w:val="24"/>
          <w:szCs w:val="24"/>
        </w:rPr>
        <w:t>Association for Asian Studies Annual Conference</w:t>
      </w:r>
    </w:p>
    <w:p w14:paraId="705A947B">
      <w:pPr>
        <w:pStyle w:val="5"/>
        <w:shd w:val="clear" w:color="auto" w:fill="FFFFFF"/>
        <w:spacing w:before="0" w:beforeAutospacing="0" w:after="0" w:afterAutospacing="0" w:line="360" w:lineRule="auto"/>
        <w:rPr>
          <w:rFonts w:ascii="仿宋" w:hAnsi="仿宋" w:eastAsia="仿宋"/>
          <w:b/>
          <w:sz w:val="32"/>
        </w:rPr>
      </w:pPr>
    </w:p>
    <w:p w14:paraId="0B53EC05">
      <w:pPr>
        <w:pStyle w:val="3"/>
        <w:spacing w:line="360" w:lineRule="auto"/>
        <w:ind w:firstLine="640" w:firstLineChars="200"/>
        <w:rPr>
          <w:rFonts w:cs="宋体"/>
          <w:sz w:val="32"/>
          <w:szCs w:val="32"/>
          <w:lang w:eastAsia="zh-CN"/>
        </w:rPr>
      </w:pPr>
    </w:p>
    <w:p w14:paraId="7ADBEA84">
      <w:pPr>
        <w:spacing w:line="360" w:lineRule="auto"/>
        <w:rPr>
          <w:rFonts w:ascii="黑体" w:hAnsi="黑体" w:eastAsia="黑体" w:cs="Times New Roman"/>
          <w:sz w:val="32"/>
          <w:szCs w:val="24"/>
        </w:rPr>
      </w:pPr>
    </w:p>
    <w:p w14:paraId="79D8CB29">
      <w:pPr>
        <w:spacing w:line="360" w:lineRule="auto"/>
        <w:rPr>
          <w:rFonts w:ascii="黑体" w:hAnsi="黑体" w:eastAsia="黑体" w:cs="Times New Roman"/>
          <w:sz w:val="32"/>
          <w:szCs w:val="24"/>
        </w:rPr>
      </w:pPr>
    </w:p>
    <w:p w14:paraId="2CA92BAE">
      <w:pPr>
        <w:spacing w:line="360" w:lineRule="auto"/>
        <w:rPr>
          <w:rFonts w:ascii="黑体" w:hAnsi="黑体" w:eastAsia="黑体" w:cs="Times New Roman"/>
          <w:sz w:val="32"/>
          <w:szCs w:val="24"/>
        </w:rPr>
      </w:pPr>
    </w:p>
    <w:p w14:paraId="3FB68A7E">
      <w:pPr>
        <w:spacing w:line="360" w:lineRule="auto"/>
        <w:rPr>
          <w:rFonts w:ascii="黑体" w:hAnsi="黑体" w:eastAsia="黑体" w:cs="Times New Roman"/>
          <w:sz w:val="32"/>
          <w:szCs w:val="24"/>
        </w:rPr>
      </w:pPr>
    </w:p>
    <w:p w14:paraId="77774F27">
      <w:pPr>
        <w:spacing w:line="360" w:lineRule="auto"/>
        <w:rPr>
          <w:rFonts w:ascii="黑体" w:hAnsi="黑体" w:eastAsia="黑体" w:cs="Times New Roman"/>
          <w:sz w:val="32"/>
          <w:szCs w:val="24"/>
        </w:rPr>
      </w:pPr>
      <w:r>
        <w:rPr>
          <w:rFonts w:hint="eastAsia" w:ascii="黑体" w:hAnsi="黑体" w:eastAsia="黑体" w:cs="Times New Roman"/>
          <w:sz w:val="32"/>
          <w:szCs w:val="24"/>
        </w:rPr>
        <w:br w:type="page"/>
      </w:r>
    </w:p>
    <w:p w14:paraId="7062843D">
      <w:pPr>
        <w:spacing w:line="360" w:lineRule="auto"/>
        <w:rPr>
          <w:rFonts w:ascii="黑体" w:hAnsi="黑体" w:eastAsia="黑体" w:cs="Times New Roman"/>
          <w:sz w:val="32"/>
          <w:szCs w:val="24"/>
        </w:rPr>
      </w:pPr>
      <w:r>
        <w:rPr>
          <w:rFonts w:hint="eastAsia" w:ascii="黑体" w:hAnsi="黑体" w:eastAsia="黑体" w:cs="Times New Roman"/>
          <w:sz w:val="32"/>
          <w:szCs w:val="24"/>
        </w:rPr>
        <w:t>附件</w:t>
      </w:r>
      <w:r>
        <w:rPr>
          <w:rFonts w:ascii="黑体" w:hAnsi="黑体" w:eastAsia="黑体" w:cs="Times New Roman"/>
          <w:sz w:val="32"/>
          <w:szCs w:val="24"/>
        </w:rPr>
        <w:t>2</w:t>
      </w:r>
    </w:p>
    <w:p w14:paraId="4A06A0F9">
      <w:pPr>
        <w:pStyle w:val="5"/>
        <w:shd w:val="clear" w:color="auto" w:fill="FFFFFF"/>
        <w:spacing w:before="0" w:beforeAutospacing="0" w:after="0" w:afterAutospacing="0" w:line="360" w:lineRule="auto"/>
        <w:ind w:firstLine="2249" w:firstLineChars="700"/>
        <w:jc w:val="both"/>
        <w:rPr>
          <w:rFonts w:ascii="方正小标宋简体" w:hAnsi="Times New Roman" w:eastAsia="方正小标宋简体" w:cs="Times New Roman"/>
          <w:b/>
          <w:bCs/>
          <w:kern w:val="2"/>
          <w:sz w:val="32"/>
          <w:szCs w:val="32"/>
        </w:rPr>
      </w:pPr>
      <w:r>
        <w:rPr>
          <w:rFonts w:hint="eastAsia" w:ascii="方正小标宋简体" w:hAnsi="Times New Roman" w:eastAsia="方正小标宋简体" w:cs="Times New Roman"/>
          <w:b/>
          <w:bCs/>
          <w:kern w:val="2"/>
          <w:sz w:val="32"/>
          <w:szCs w:val="32"/>
        </w:rPr>
        <w:t>中国人民大学社会学院</w:t>
      </w:r>
    </w:p>
    <w:p w14:paraId="70AC0068">
      <w:pPr>
        <w:pStyle w:val="5"/>
        <w:shd w:val="clear" w:color="auto" w:fill="FFFFFF"/>
        <w:spacing w:before="0" w:beforeAutospacing="0" w:after="0" w:afterAutospacing="0" w:line="360" w:lineRule="auto"/>
        <w:ind w:firstLine="1606" w:firstLineChars="500"/>
        <w:jc w:val="both"/>
        <w:rPr>
          <w:rFonts w:ascii="方正小标宋简体" w:hAnsi="Times New Roman" w:eastAsia="方正小标宋简体" w:cs="Times New Roman"/>
          <w:b/>
          <w:bCs/>
          <w:kern w:val="2"/>
          <w:sz w:val="32"/>
          <w:szCs w:val="32"/>
        </w:rPr>
      </w:pPr>
      <w:r>
        <w:rPr>
          <w:rFonts w:hint="eastAsia" w:ascii="方正小标宋简体" w:hAnsi="Times New Roman" w:eastAsia="方正小标宋简体" w:cs="Times New Roman"/>
          <w:b/>
          <w:bCs/>
          <w:kern w:val="2"/>
          <w:sz w:val="32"/>
          <w:szCs w:val="32"/>
        </w:rPr>
        <w:t>“航笙优才培养计划”项目申请表</w:t>
      </w:r>
    </w:p>
    <w:p w14:paraId="3E82E334">
      <w:pPr>
        <w:spacing w:line="360" w:lineRule="auto"/>
        <w:jc w:val="center"/>
        <w:rPr>
          <w:rFonts w:ascii="微软雅黑" w:hAnsi="微软雅黑" w:eastAsia="微软雅黑"/>
          <w:b/>
          <w:bCs/>
          <w:sz w:val="24"/>
        </w:rPr>
      </w:pPr>
    </w:p>
    <w:tbl>
      <w:tblPr>
        <w:tblStyle w:val="8"/>
        <w:tblW w:w="9427"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981"/>
        <w:gridCol w:w="1000"/>
        <w:gridCol w:w="1019"/>
        <w:gridCol w:w="2269"/>
        <w:gridCol w:w="1037"/>
        <w:gridCol w:w="838"/>
        <w:gridCol w:w="1087"/>
      </w:tblGrid>
      <w:tr w14:paraId="5596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tcBorders>
              <w:top w:val="single" w:color="auto" w:sz="4" w:space="0"/>
              <w:left w:val="single" w:color="auto" w:sz="4" w:space="0"/>
              <w:bottom w:val="single" w:color="auto" w:sz="4" w:space="0"/>
              <w:right w:val="single" w:color="auto" w:sz="4" w:space="0"/>
            </w:tcBorders>
            <w:vAlign w:val="center"/>
          </w:tcPr>
          <w:p w14:paraId="1B585A07">
            <w:pPr>
              <w:adjustRightInd w:val="0"/>
              <w:snapToGrid w:val="0"/>
              <w:spacing w:line="240" w:lineRule="auto"/>
              <w:jc w:val="center"/>
              <w:rPr>
                <w:rFonts w:ascii="微软雅黑" w:hAnsi="微软雅黑" w:eastAsia="微软雅黑" w:cs="宋体"/>
                <w:szCs w:val="21"/>
              </w:rPr>
            </w:pPr>
            <w:r>
              <w:rPr>
                <w:rFonts w:hint="eastAsia" w:ascii="微软雅黑" w:hAnsi="微软雅黑" w:eastAsia="微软雅黑" w:cs="宋体"/>
                <w:szCs w:val="21"/>
              </w:rPr>
              <w:t>申请人</w:t>
            </w:r>
          </w:p>
        </w:tc>
        <w:tc>
          <w:tcPr>
            <w:tcW w:w="981" w:type="dxa"/>
            <w:tcBorders>
              <w:top w:val="single" w:color="auto" w:sz="4" w:space="0"/>
              <w:left w:val="single" w:color="auto" w:sz="4" w:space="0"/>
              <w:bottom w:val="single" w:color="auto" w:sz="4" w:space="0"/>
              <w:right w:val="single" w:color="auto" w:sz="4" w:space="0"/>
            </w:tcBorders>
            <w:vAlign w:val="center"/>
          </w:tcPr>
          <w:p w14:paraId="12F67217">
            <w:pPr>
              <w:adjustRightInd w:val="0"/>
              <w:snapToGrid w:val="0"/>
              <w:spacing w:line="240" w:lineRule="auto"/>
              <w:jc w:val="center"/>
              <w:rPr>
                <w:rFonts w:ascii="微软雅黑" w:hAnsi="微软雅黑" w:eastAsia="微软雅黑" w:cs="宋体"/>
                <w:szCs w:val="21"/>
              </w:rPr>
            </w:pPr>
          </w:p>
        </w:tc>
        <w:tc>
          <w:tcPr>
            <w:tcW w:w="1000" w:type="dxa"/>
            <w:tcBorders>
              <w:top w:val="single" w:color="auto" w:sz="4" w:space="0"/>
              <w:left w:val="single" w:color="auto" w:sz="4" w:space="0"/>
              <w:bottom w:val="single" w:color="auto" w:sz="4" w:space="0"/>
              <w:right w:val="single" w:color="auto" w:sz="4" w:space="0"/>
            </w:tcBorders>
            <w:vAlign w:val="center"/>
          </w:tcPr>
          <w:p w14:paraId="1B6705B6">
            <w:pPr>
              <w:adjustRightInd w:val="0"/>
              <w:snapToGrid w:val="0"/>
              <w:spacing w:line="240" w:lineRule="auto"/>
              <w:jc w:val="center"/>
              <w:rPr>
                <w:rFonts w:hint="default" w:ascii="微软雅黑" w:hAnsi="微软雅黑" w:eastAsia="微软雅黑" w:cs="宋体"/>
                <w:szCs w:val="21"/>
                <w:lang w:val="en-US" w:eastAsia="zh-CN"/>
              </w:rPr>
            </w:pPr>
            <w:r>
              <w:rPr>
                <w:rFonts w:hint="eastAsia" w:ascii="微软雅黑" w:hAnsi="微软雅黑" w:eastAsia="微软雅黑" w:cs="宋体"/>
                <w:szCs w:val="21"/>
                <w:lang w:val="en-US" w:eastAsia="zh-CN"/>
              </w:rPr>
              <w:t>专业</w:t>
            </w:r>
          </w:p>
        </w:tc>
        <w:tc>
          <w:tcPr>
            <w:tcW w:w="1019" w:type="dxa"/>
            <w:tcBorders>
              <w:top w:val="single" w:color="auto" w:sz="4" w:space="0"/>
              <w:left w:val="single" w:color="auto" w:sz="4" w:space="0"/>
              <w:bottom w:val="single" w:color="auto" w:sz="4" w:space="0"/>
              <w:right w:val="single" w:color="auto" w:sz="4" w:space="0"/>
            </w:tcBorders>
            <w:vAlign w:val="center"/>
          </w:tcPr>
          <w:p w14:paraId="29AA9799">
            <w:pPr>
              <w:adjustRightInd w:val="0"/>
              <w:snapToGrid w:val="0"/>
              <w:spacing w:line="240" w:lineRule="auto"/>
              <w:jc w:val="center"/>
              <w:rPr>
                <w:rFonts w:ascii="微软雅黑" w:hAnsi="微软雅黑" w:eastAsia="微软雅黑" w:cs="宋体"/>
                <w:szCs w:val="21"/>
              </w:rPr>
            </w:pPr>
          </w:p>
        </w:tc>
        <w:tc>
          <w:tcPr>
            <w:tcW w:w="2269" w:type="dxa"/>
            <w:tcBorders>
              <w:top w:val="single" w:color="auto" w:sz="4" w:space="0"/>
              <w:left w:val="single" w:color="auto" w:sz="4" w:space="0"/>
              <w:bottom w:val="single" w:color="auto" w:sz="4" w:space="0"/>
              <w:right w:val="single" w:color="auto" w:sz="4" w:space="0"/>
            </w:tcBorders>
            <w:vAlign w:val="center"/>
          </w:tcPr>
          <w:p w14:paraId="54BBD5BA">
            <w:pPr>
              <w:adjustRightInd w:val="0"/>
              <w:snapToGrid w:val="0"/>
              <w:spacing w:line="240" w:lineRule="auto"/>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学生类别</w:t>
            </w:r>
          </w:p>
          <w:p w14:paraId="59114E51">
            <w:pPr>
              <w:adjustRightInd w:val="0"/>
              <w:snapToGrid w:val="0"/>
              <w:spacing w:line="240" w:lineRule="auto"/>
              <w:jc w:val="center"/>
              <w:rPr>
                <w:rFonts w:hint="default" w:ascii="微软雅黑" w:hAnsi="微软雅黑" w:eastAsia="微软雅黑" w:cs="宋体"/>
                <w:szCs w:val="21"/>
                <w:lang w:val="en-US" w:eastAsia="zh-CN"/>
              </w:rPr>
            </w:pPr>
            <w:r>
              <w:rPr>
                <w:rFonts w:hint="eastAsia" w:ascii="微软雅黑" w:hAnsi="微软雅黑" w:eastAsia="微软雅黑" w:cs="宋体"/>
                <w:szCs w:val="21"/>
                <w:lang w:val="en-US" w:eastAsia="zh-CN"/>
              </w:rPr>
              <w:t>（如本科、硕士、博士）</w:t>
            </w:r>
          </w:p>
        </w:tc>
        <w:tc>
          <w:tcPr>
            <w:tcW w:w="1037" w:type="dxa"/>
            <w:tcBorders>
              <w:top w:val="single" w:color="auto" w:sz="4" w:space="0"/>
              <w:left w:val="single" w:color="auto" w:sz="4" w:space="0"/>
              <w:bottom w:val="single" w:color="auto" w:sz="4" w:space="0"/>
              <w:right w:val="single" w:color="auto" w:sz="4" w:space="0"/>
            </w:tcBorders>
            <w:vAlign w:val="center"/>
          </w:tcPr>
          <w:p w14:paraId="15F5879D">
            <w:pPr>
              <w:adjustRightInd w:val="0"/>
              <w:snapToGrid w:val="0"/>
              <w:spacing w:line="240" w:lineRule="auto"/>
              <w:jc w:val="center"/>
              <w:rPr>
                <w:rFonts w:ascii="微软雅黑" w:hAnsi="微软雅黑" w:eastAsia="微软雅黑" w:cs="宋体"/>
                <w:szCs w:val="21"/>
              </w:rPr>
            </w:pPr>
          </w:p>
        </w:tc>
        <w:tc>
          <w:tcPr>
            <w:tcW w:w="838" w:type="dxa"/>
            <w:tcBorders>
              <w:top w:val="single" w:color="auto" w:sz="4" w:space="0"/>
              <w:left w:val="single" w:color="auto" w:sz="4" w:space="0"/>
              <w:bottom w:val="single" w:color="auto" w:sz="4" w:space="0"/>
              <w:right w:val="single" w:color="auto" w:sz="4" w:space="0"/>
            </w:tcBorders>
            <w:vAlign w:val="center"/>
          </w:tcPr>
          <w:p w14:paraId="52265984">
            <w:pPr>
              <w:adjustRightInd w:val="0"/>
              <w:snapToGrid w:val="0"/>
              <w:spacing w:line="240" w:lineRule="auto"/>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学号</w:t>
            </w:r>
          </w:p>
        </w:tc>
        <w:tc>
          <w:tcPr>
            <w:tcW w:w="1087" w:type="dxa"/>
            <w:tcBorders>
              <w:top w:val="single" w:color="auto" w:sz="4" w:space="0"/>
              <w:left w:val="single" w:color="auto" w:sz="4" w:space="0"/>
              <w:bottom w:val="single" w:color="auto" w:sz="4" w:space="0"/>
              <w:right w:val="single" w:color="auto" w:sz="4" w:space="0"/>
            </w:tcBorders>
            <w:vAlign w:val="center"/>
          </w:tcPr>
          <w:p w14:paraId="43805D5B">
            <w:pPr>
              <w:adjustRightInd w:val="0"/>
              <w:snapToGrid w:val="0"/>
              <w:spacing w:line="240" w:lineRule="auto"/>
              <w:jc w:val="center"/>
              <w:rPr>
                <w:rFonts w:ascii="微软雅黑" w:hAnsi="微软雅黑" w:eastAsia="微软雅黑" w:cs="宋体"/>
                <w:szCs w:val="21"/>
              </w:rPr>
            </w:pPr>
          </w:p>
        </w:tc>
      </w:tr>
      <w:tr w14:paraId="0348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96" w:type="dxa"/>
            <w:tcBorders>
              <w:top w:val="single" w:color="auto" w:sz="4" w:space="0"/>
              <w:left w:val="single" w:color="auto" w:sz="4" w:space="0"/>
              <w:bottom w:val="single" w:color="auto" w:sz="4" w:space="0"/>
              <w:right w:val="single" w:color="auto" w:sz="4" w:space="0"/>
            </w:tcBorders>
            <w:vAlign w:val="center"/>
          </w:tcPr>
          <w:p w14:paraId="62A85477">
            <w:pPr>
              <w:adjustRightInd w:val="0"/>
              <w:snapToGrid w:val="0"/>
              <w:spacing w:line="240" w:lineRule="auto"/>
              <w:jc w:val="center"/>
              <w:rPr>
                <w:rFonts w:hint="eastAsia" w:ascii="微软雅黑" w:hAnsi="微软雅黑" w:eastAsia="微软雅黑" w:cs="宋体"/>
                <w:szCs w:val="21"/>
                <w:lang w:val="en-US" w:eastAsia="zh-CN"/>
              </w:rPr>
            </w:pPr>
            <w:r>
              <w:rPr>
                <w:rFonts w:hint="eastAsia" w:ascii="微软雅黑" w:hAnsi="微软雅黑" w:eastAsia="微软雅黑" w:cs="宋体"/>
                <w:szCs w:val="21"/>
              </w:rPr>
              <w:t>性别</w:t>
            </w:r>
          </w:p>
        </w:tc>
        <w:tc>
          <w:tcPr>
            <w:tcW w:w="981" w:type="dxa"/>
            <w:tcBorders>
              <w:top w:val="single" w:color="auto" w:sz="4" w:space="0"/>
              <w:left w:val="single" w:color="auto" w:sz="4" w:space="0"/>
              <w:bottom w:val="single" w:color="auto" w:sz="4" w:space="0"/>
              <w:right w:val="single" w:color="auto" w:sz="4" w:space="0"/>
            </w:tcBorders>
            <w:vAlign w:val="center"/>
          </w:tcPr>
          <w:p w14:paraId="40557E67">
            <w:pPr>
              <w:adjustRightInd w:val="0"/>
              <w:snapToGrid w:val="0"/>
              <w:spacing w:line="240" w:lineRule="auto"/>
              <w:rPr>
                <w:rFonts w:ascii="微软雅黑" w:hAnsi="微软雅黑" w:eastAsia="微软雅黑" w:cs="宋体"/>
                <w:szCs w:val="21"/>
              </w:rPr>
            </w:pPr>
          </w:p>
        </w:tc>
        <w:tc>
          <w:tcPr>
            <w:tcW w:w="1000" w:type="dxa"/>
            <w:tcBorders>
              <w:top w:val="single" w:color="auto" w:sz="4" w:space="0"/>
              <w:left w:val="single" w:color="auto" w:sz="4" w:space="0"/>
              <w:bottom w:val="single" w:color="auto" w:sz="4" w:space="0"/>
              <w:right w:val="single" w:color="auto" w:sz="4" w:space="0"/>
            </w:tcBorders>
            <w:vAlign w:val="center"/>
          </w:tcPr>
          <w:p w14:paraId="3039D494">
            <w:pPr>
              <w:adjustRightInd w:val="0"/>
              <w:snapToGrid w:val="0"/>
              <w:spacing w:line="240" w:lineRule="auto"/>
              <w:jc w:val="center"/>
              <w:rPr>
                <w:rFonts w:hint="default" w:ascii="微软雅黑" w:hAnsi="微软雅黑" w:eastAsia="微软雅黑" w:cs="宋体"/>
                <w:szCs w:val="21"/>
                <w:lang w:val="en-US" w:eastAsia="zh-CN"/>
              </w:rPr>
            </w:pPr>
            <w:r>
              <w:rPr>
                <w:rFonts w:hint="eastAsia" w:ascii="微软雅黑" w:hAnsi="微软雅黑" w:eastAsia="微软雅黑" w:cs="宋体"/>
                <w:szCs w:val="21"/>
                <w:lang w:val="en-US" w:eastAsia="zh-CN"/>
              </w:rPr>
              <w:t>班主任</w:t>
            </w:r>
          </w:p>
        </w:tc>
        <w:tc>
          <w:tcPr>
            <w:tcW w:w="1019" w:type="dxa"/>
            <w:tcBorders>
              <w:top w:val="single" w:color="auto" w:sz="4" w:space="0"/>
              <w:left w:val="single" w:color="auto" w:sz="4" w:space="0"/>
              <w:bottom w:val="single" w:color="auto" w:sz="4" w:space="0"/>
              <w:right w:val="single" w:color="auto" w:sz="4" w:space="0"/>
            </w:tcBorders>
            <w:vAlign w:val="center"/>
          </w:tcPr>
          <w:p w14:paraId="55EB65EF">
            <w:pPr>
              <w:adjustRightInd w:val="0"/>
              <w:snapToGrid w:val="0"/>
              <w:spacing w:line="240" w:lineRule="auto"/>
              <w:rPr>
                <w:rFonts w:hint="default" w:ascii="微软雅黑" w:hAnsi="微软雅黑" w:eastAsia="微软雅黑" w:cs="宋体"/>
                <w:szCs w:val="21"/>
                <w:lang w:val="en-US" w:eastAsia="zh-CN"/>
              </w:rPr>
            </w:pPr>
          </w:p>
        </w:tc>
        <w:tc>
          <w:tcPr>
            <w:tcW w:w="2269" w:type="dxa"/>
            <w:tcBorders>
              <w:top w:val="single" w:color="auto" w:sz="4" w:space="0"/>
              <w:left w:val="single" w:color="auto" w:sz="4" w:space="0"/>
              <w:bottom w:val="single" w:color="auto" w:sz="4" w:space="0"/>
              <w:right w:val="single" w:color="auto" w:sz="4" w:space="0"/>
            </w:tcBorders>
            <w:vAlign w:val="center"/>
          </w:tcPr>
          <w:p w14:paraId="5C5FE850">
            <w:pPr>
              <w:adjustRightInd w:val="0"/>
              <w:snapToGrid w:val="0"/>
              <w:spacing w:line="240" w:lineRule="auto"/>
              <w:jc w:val="center"/>
              <w:rPr>
                <w:rFonts w:hint="default" w:ascii="微软雅黑" w:hAnsi="微软雅黑" w:eastAsia="微软雅黑" w:cs="宋体"/>
                <w:szCs w:val="21"/>
                <w:lang w:val="en-US" w:eastAsia="zh-CN"/>
              </w:rPr>
            </w:pPr>
            <w:r>
              <w:rPr>
                <w:rFonts w:hint="eastAsia" w:ascii="微软雅黑" w:hAnsi="微软雅黑" w:eastAsia="微软雅黑" w:cs="宋体"/>
                <w:szCs w:val="21"/>
                <w:lang w:val="en-US" w:eastAsia="zh-CN"/>
              </w:rPr>
              <w:t>导师</w:t>
            </w:r>
          </w:p>
        </w:tc>
        <w:tc>
          <w:tcPr>
            <w:tcW w:w="1037" w:type="dxa"/>
            <w:tcBorders>
              <w:top w:val="single" w:color="auto" w:sz="4" w:space="0"/>
              <w:left w:val="single" w:color="auto" w:sz="4" w:space="0"/>
              <w:bottom w:val="single" w:color="auto" w:sz="4" w:space="0"/>
              <w:right w:val="single" w:color="auto" w:sz="4" w:space="0"/>
            </w:tcBorders>
            <w:vAlign w:val="center"/>
          </w:tcPr>
          <w:p w14:paraId="3522C36F">
            <w:pPr>
              <w:adjustRightInd w:val="0"/>
              <w:snapToGrid w:val="0"/>
              <w:spacing w:line="240" w:lineRule="auto"/>
              <w:rPr>
                <w:rFonts w:ascii="微软雅黑" w:hAnsi="微软雅黑" w:eastAsia="微软雅黑" w:cs="宋体"/>
                <w:szCs w:val="21"/>
              </w:rPr>
            </w:pPr>
          </w:p>
        </w:tc>
        <w:tc>
          <w:tcPr>
            <w:tcW w:w="838" w:type="dxa"/>
            <w:tcBorders>
              <w:top w:val="single" w:color="auto" w:sz="4" w:space="0"/>
              <w:left w:val="single" w:color="auto" w:sz="4" w:space="0"/>
              <w:bottom w:val="single" w:color="auto" w:sz="4" w:space="0"/>
              <w:right w:val="single" w:color="auto" w:sz="4" w:space="0"/>
            </w:tcBorders>
            <w:vAlign w:val="center"/>
          </w:tcPr>
          <w:p w14:paraId="1EF4B547">
            <w:pPr>
              <w:adjustRightInd w:val="0"/>
              <w:snapToGrid w:val="0"/>
              <w:spacing w:line="240" w:lineRule="auto"/>
              <w:jc w:val="center"/>
              <w:rPr>
                <w:rFonts w:hint="default" w:ascii="微软雅黑" w:hAnsi="微软雅黑" w:eastAsia="微软雅黑" w:cs="宋体"/>
                <w:szCs w:val="21"/>
                <w:lang w:val="en-US" w:eastAsia="zh-CN"/>
              </w:rPr>
            </w:pPr>
            <w:r>
              <w:rPr>
                <w:rFonts w:hint="eastAsia" w:ascii="微软雅黑" w:hAnsi="微软雅黑" w:eastAsia="微软雅黑" w:cs="宋体"/>
                <w:szCs w:val="21"/>
                <w:lang w:val="en-US" w:eastAsia="zh-CN"/>
              </w:rPr>
              <w:t>申请金额</w:t>
            </w:r>
          </w:p>
        </w:tc>
        <w:tc>
          <w:tcPr>
            <w:tcW w:w="1087" w:type="dxa"/>
            <w:tcBorders>
              <w:top w:val="single" w:color="auto" w:sz="4" w:space="0"/>
              <w:left w:val="single" w:color="auto" w:sz="4" w:space="0"/>
              <w:bottom w:val="single" w:color="auto" w:sz="4" w:space="0"/>
              <w:right w:val="single" w:color="auto" w:sz="4" w:space="0"/>
            </w:tcBorders>
            <w:vAlign w:val="center"/>
          </w:tcPr>
          <w:p w14:paraId="7F2EAF5D">
            <w:pPr>
              <w:adjustRightInd w:val="0"/>
              <w:snapToGrid w:val="0"/>
              <w:spacing w:line="240" w:lineRule="auto"/>
              <w:jc w:val="center"/>
              <w:rPr>
                <w:rFonts w:ascii="微软雅黑" w:hAnsi="微软雅黑" w:eastAsia="微软雅黑" w:cs="宋体"/>
                <w:szCs w:val="21"/>
              </w:rPr>
            </w:pPr>
          </w:p>
        </w:tc>
      </w:tr>
      <w:tr w14:paraId="6E7B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96" w:type="dxa"/>
            <w:tcBorders>
              <w:top w:val="single" w:color="auto" w:sz="4" w:space="0"/>
              <w:left w:val="single" w:color="auto" w:sz="4" w:space="0"/>
              <w:bottom w:val="single" w:color="auto" w:sz="4" w:space="0"/>
              <w:right w:val="single" w:color="auto" w:sz="4" w:space="0"/>
            </w:tcBorders>
            <w:vAlign w:val="center"/>
          </w:tcPr>
          <w:p w14:paraId="52CE8438">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申请项目</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44CCF5D3">
            <w:pPr>
              <w:adjustRightInd w:val="0"/>
              <w:snapToGrid w:val="0"/>
              <w:spacing w:line="360" w:lineRule="auto"/>
              <w:ind w:firstLine="210" w:firstLineChars="100"/>
              <w:rPr>
                <w:rFonts w:ascii="微软雅黑" w:hAnsi="微软雅黑" w:eastAsia="微软雅黑" w:cs="宋体"/>
                <w:szCs w:val="21"/>
              </w:rPr>
            </w:pPr>
            <w:r>
              <w:rPr>
                <w:rFonts w:hint="eastAsia" w:ascii="微软雅黑" w:hAnsi="微软雅黑" w:eastAsia="微软雅黑" w:cs="宋体"/>
                <w:szCs w:val="21"/>
              </w:rPr>
              <w:t xml:space="preserve">□航笙国际会议项目     </w:t>
            </w:r>
            <w:r>
              <w:rPr>
                <w:rFonts w:hint="eastAsia" w:ascii="微软雅黑" w:hAnsi="微软雅黑" w:eastAsia="微软雅黑" w:cs="宋体"/>
                <w:szCs w:val="21"/>
                <w:lang w:eastAsia="zh-CN"/>
              </w:rPr>
              <w:t>□</w:t>
            </w:r>
            <w:r>
              <w:rPr>
                <w:rFonts w:hint="eastAsia" w:ascii="微软雅黑" w:hAnsi="微软雅黑" w:eastAsia="微软雅黑" w:cs="宋体"/>
                <w:szCs w:val="21"/>
              </w:rPr>
              <w:t xml:space="preserve">海外田野课堂项目                  </w:t>
            </w:r>
          </w:p>
          <w:p w14:paraId="0B800CBD">
            <w:pPr>
              <w:adjustRightInd w:val="0"/>
              <w:snapToGrid w:val="0"/>
              <w:spacing w:line="360" w:lineRule="auto"/>
              <w:ind w:firstLine="210" w:firstLineChars="100"/>
              <w:rPr>
                <w:rFonts w:ascii="微软雅黑" w:hAnsi="微软雅黑" w:eastAsia="微软雅黑" w:cs="宋体"/>
                <w:szCs w:val="21"/>
              </w:rPr>
            </w:pPr>
            <w:r>
              <w:rPr>
                <w:rFonts w:hint="eastAsia" w:ascii="微软雅黑" w:hAnsi="微软雅黑" w:eastAsia="微软雅黑" w:cs="宋体"/>
                <w:szCs w:val="21"/>
              </w:rPr>
              <w:t xml:space="preserve">□航笙国际优才项目     □航笙国际交流项目                  </w:t>
            </w:r>
          </w:p>
          <w:p w14:paraId="0A05EBC6">
            <w:pPr>
              <w:adjustRightInd w:val="0"/>
              <w:snapToGrid w:val="0"/>
              <w:spacing w:line="360" w:lineRule="auto"/>
              <w:ind w:firstLine="210" w:firstLineChars="100"/>
              <w:rPr>
                <w:rFonts w:ascii="微软雅黑" w:hAnsi="微软雅黑" w:eastAsia="微软雅黑" w:cs="宋体"/>
                <w:szCs w:val="21"/>
              </w:rPr>
            </w:pPr>
            <w:r>
              <w:rPr>
                <w:rFonts w:hint="eastAsia" w:ascii="微软雅黑" w:hAnsi="微软雅黑" w:eastAsia="微软雅黑" w:cs="宋体"/>
                <w:szCs w:val="21"/>
              </w:rPr>
              <w:t>□其他项目：</w:t>
            </w:r>
            <w:r>
              <w:rPr>
                <w:rFonts w:hint="eastAsia" w:ascii="微软雅黑" w:hAnsi="微软雅黑" w:eastAsia="微软雅黑" w:cs="宋体"/>
                <w:szCs w:val="21"/>
                <w:u w:val="single"/>
              </w:rPr>
              <w:t xml:space="preserve">                     </w:t>
            </w:r>
          </w:p>
        </w:tc>
      </w:tr>
      <w:tr w14:paraId="56AF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2" w:hRule="atLeast"/>
        </w:trPr>
        <w:tc>
          <w:tcPr>
            <w:tcW w:w="1196" w:type="dxa"/>
            <w:tcBorders>
              <w:top w:val="single" w:color="auto" w:sz="4" w:space="0"/>
              <w:left w:val="single" w:color="auto" w:sz="4" w:space="0"/>
              <w:bottom w:val="single" w:color="auto" w:sz="4" w:space="0"/>
              <w:right w:val="single" w:color="auto" w:sz="4" w:space="0"/>
            </w:tcBorders>
            <w:vAlign w:val="center"/>
          </w:tcPr>
          <w:p w14:paraId="584E8EE6">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拟申请项目</w:t>
            </w:r>
          </w:p>
          <w:p w14:paraId="42D8ACC6">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基本情况</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4889C6A3">
            <w:pPr>
              <w:adjustRightInd w:val="0"/>
              <w:snapToGrid w:val="0"/>
              <w:spacing w:line="360" w:lineRule="auto"/>
              <w:rPr>
                <w:rFonts w:ascii="华文楷体" w:hAnsi="华文楷体" w:eastAsia="华文楷体" w:cs="华文楷体"/>
                <w:szCs w:val="21"/>
              </w:rPr>
            </w:pPr>
            <w:r>
              <w:rPr>
                <w:rFonts w:hint="eastAsia" w:ascii="华文楷体" w:hAnsi="华文楷体" w:eastAsia="华文楷体" w:cs="华文楷体"/>
                <w:szCs w:val="21"/>
              </w:rPr>
              <w:t>（包括但不限于拟申请项目简介，出国及回国的时间、目的地、主要行程、详细预算、申请资助数额等。可加页。）</w:t>
            </w:r>
          </w:p>
          <w:p w14:paraId="0B34A36C">
            <w:pPr>
              <w:adjustRightInd w:val="0"/>
              <w:snapToGrid w:val="0"/>
              <w:spacing w:line="360" w:lineRule="auto"/>
              <w:rPr>
                <w:rFonts w:ascii="华文楷体" w:hAnsi="华文楷体" w:eastAsia="华文楷体" w:cs="华文楷体"/>
                <w:szCs w:val="21"/>
              </w:rPr>
            </w:pPr>
          </w:p>
          <w:p w14:paraId="1CE174B4">
            <w:pPr>
              <w:adjustRightInd w:val="0"/>
              <w:snapToGrid w:val="0"/>
              <w:spacing w:line="360" w:lineRule="auto"/>
              <w:jc w:val="center"/>
              <w:rPr>
                <w:rFonts w:ascii="华文楷体" w:hAnsi="华文楷体" w:eastAsia="华文楷体" w:cs="华文楷体"/>
                <w:szCs w:val="21"/>
              </w:rPr>
            </w:pPr>
          </w:p>
          <w:p w14:paraId="16ED5DFD">
            <w:pPr>
              <w:adjustRightInd w:val="0"/>
              <w:snapToGrid w:val="0"/>
              <w:spacing w:line="360" w:lineRule="auto"/>
              <w:rPr>
                <w:rFonts w:ascii="华文楷体" w:hAnsi="华文楷体" w:eastAsia="华文楷体" w:cs="华文楷体"/>
                <w:szCs w:val="21"/>
              </w:rPr>
            </w:pPr>
          </w:p>
          <w:p w14:paraId="3B64894E">
            <w:pPr>
              <w:adjustRightInd w:val="0"/>
              <w:snapToGrid w:val="0"/>
              <w:spacing w:line="360" w:lineRule="auto"/>
              <w:rPr>
                <w:rFonts w:ascii="华文楷体" w:hAnsi="华文楷体" w:eastAsia="华文楷体" w:cs="华文楷体"/>
                <w:szCs w:val="21"/>
              </w:rPr>
            </w:pPr>
          </w:p>
          <w:p w14:paraId="5371F061">
            <w:pPr>
              <w:adjustRightInd w:val="0"/>
              <w:snapToGrid w:val="0"/>
              <w:spacing w:line="360" w:lineRule="auto"/>
              <w:rPr>
                <w:rFonts w:ascii="华文楷体" w:hAnsi="华文楷体" w:eastAsia="华文楷体" w:cs="华文楷体"/>
                <w:szCs w:val="21"/>
              </w:rPr>
            </w:pPr>
          </w:p>
          <w:p w14:paraId="6613D44F">
            <w:pPr>
              <w:adjustRightInd w:val="0"/>
              <w:snapToGrid w:val="0"/>
              <w:spacing w:line="360" w:lineRule="auto"/>
              <w:rPr>
                <w:rFonts w:ascii="华文楷体" w:hAnsi="华文楷体" w:eastAsia="华文楷体" w:cs="华文楷体"/>
                <w:szCs w:val="21"/>
              </w:rPr>
            </w:pPr>
          </w:p>
          <w:p w14:paraId="6F75973C">
            <w:pPr>
              <w:adjustRightInd w:val="0"/>
              <w:snapToGrid w:val="0"/>
              <w:spacing w:line="360" w:lineRule="auto"/>
              <w:rPr>
                <w:rFonts w:ascii="华文楷体" w:hAnsi="华文楷体" w:eastAsia="华文楷体" w:cs="华文楷体"/>
                <w:szCs w:val="21"/>
              </w:rPr>
            </w:pPr>
          </w:p>
          <w:p w14:paraId="7517871A">
            <w:pPr>
              <w:adjustRightInd w:val="0"/>
              <w:snapToGrid w:val="0"/>
              <w:spacing w:line="360" w:lineRule="auto"/>
              <w:rPr>
                <w:rFonts w:ascii="华文楷体" w:hAnsi="华文楷体" w:eastAsia="华文楷体" w:cs="华文楷体"/>
                <w:szCs w:val="21"/>
              </w:rPr>
            </w:pPr>
          </w:p>
          <w:p w14:paraId="57B5F221">
            <w:pPr>
              <w:adjustRightInd w:val="0"/>
              <w:snapToGrid w:val="0"/>
              <w:spacing w:line="360" w:lineRule="auto"/>
              <w:rPr>
                <w:rFonts w:ascii="华文楷体" w:hAnsi="华文楷体" w:eastAsia="华文楷体" w:cs="华文楷体"/>
                <w:szCs w:val="21"/>
              </w:rPr>
            </w:pPr>
          </w:p>
          <w:p w14:paraId="14C9A27A">
            <w:pPr>
              <w:adjustRightInd w:val="0"/>
              <w:snapToGrid w:val="0"/>
              <w:spacing w:line="360" w:lineRule="auto"/>
              <w:rPr>
                <w:rFonts w:ascii="华文楷体" w:hAnsi="华文楷体" w:eastAsia="华文楷体" w:cs="华文楷体"/>
                <w:szCs w:val="21"/>
              </w:rPr>
            </w:pPr>
          </w:p>
          <w:p w14:paraId="7685726E">
            <w:pPr>
              <w:adjustRightInd w:val="0"/>
              <w:snapToGrid w:val="0"/>
              <w:spacing w:line="360" w:lineRule="auto"/>
              <w:rPr>
                <w:rFonts w:ascii="华文楷体" w:hAnsi="华文楷体" w:eastAsia="华文楷体" w:cs="华文楷体"/>
                <w:szCs w:val="21"/>
              </w:rPr>
            </w:pPr>
          </w:p>
          <w:p w14:paraId="67FB2639">
            <w:pPr>
              <w:adjustRightInd w:val="0"/>
              <w:snapToGrid w:val="0"/>
              <w:spacing w:line="360" w:lineRule="auto"/>
              <w:rPr>
                <w:rFonts w:ascii="华文楷体" w:hAnsi="华文楷体" w:eastAsia="华文楷体" w:cs="华文楷体"/>
                <w:szCs w:val="21"/>
              </w:rPr>
            </w:pPr>
          </w:p>
          <w:p w14:paraId="5DED5CC7">
            <w:pPr>
              <w:adjustRightInd w:val="0"/>
              <w:snapToGrid w:val="0"/>
              <w:spacing w:line="360" w:lineRule="auto"/>
              <w:rPr>
                <w:rFonts w:ascii="华文楷体" w:hAnsi="华文楷体" w:eastAsia="华文楷体" w:cs="华文楷体"/>
                <w:szCs w:val="21"/>
              </w:rPr>
            </w:pPr>
          </w:p>
        </w:tc>
      </w:tr>
      <w:tr w14:paraId="7B05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5" w:hRule="atLeast"/>
        </w:trPr>
        <w:tc>
          <w:tcPr>
            <w:tcW w:w="1196" w:type="dxa"/>
            <w:tcBorders>
              <w:top w:val="single" w:color="auto" w:sz="4" w:space="0"/>
              <w:left w:val="single" w:color="auto" w:sz="4" w:space="0"/>
              <w:bottom w:val="single" w:color="auto" w:sz="4" w:space="0"/>
              <w:right w:val="single" w:color="auto" w:sz="4" w:space="0"/>
            </w:tcBorders>
            <w:vAlign w:val="center"/>
          </w:tcPr>
          <w:p w14:paraId="00234FBD">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申请理由陈述</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7D93CDD0">
            <w:pPr>
              <w:adjustRightInd w:val="0"/>
              <w:snapToGrid w:val="0"/>
              <w:spacing w:line="360" w:lineRule="auto"/>
              <w:rPr>
                <w:rFonts w:ascii="华文楷体" w:hAnsi="华文楷体" w:eastAsia="华文楷体" w:cs="华文楷体"/>
                <w:szCs w:val="21"/>
              </w:rPr>
            </w:pPr>
            <w:r>
              <w:rPr>
                <w:rFonts w:hint="eastAsia" w:ascii="华文楷体" w:hAnsi="华文楷体" w:eastAsia="华文楷体" w:cs="华文楷体"/>
                <w:szCs w:val="21"/>
              </w:rPr>
              <w:t>（包括但不限于拟申请项目的重要意义、预期成效、是否获得过其它资助等。可加页）</w:t>
            </w:r>
          </w:p>
          <w:p w14:paraId="075CA18E">
            <w:pPr>
              <w:adjustRightInd w:val="0"/>
              <w:snapToGrid w:val="0"/>
              <w:spacing w:line="360" w:lineRule="auto"/>
              <w:rPr>
                <w:rFonts w:ascii="华文楷体" w:hAnsi="华文楷体" w:eastAsia="华文楷体" w:cs="华文楷体"/>
                <w:szCs w:val="21"/>
              </w:rPr>
            </w:pPr>
          </w:p>
          <w:p w14:paraId="3C4563B5">
            <w:pPr>
              <w:adjustRightInd w:val="0"/>
              <w:snapToGrid w:val="0"/>
              <w:spacing w:line="360" w:lineRule="auto"/>
              <w:rPr>
                <w:rFonts w:ascii="华文楷体" w:hAnsi="华文楷体" w:eastAsia="华文楷体" w:cs="华文楷体"/>
                <w:szCs w:val="21"/>
              </w:rPr>
            </w:pPr>
          </w:p>
          <w:p w14:paraId="5E097059">
            <w:pPr>
              <w:adjustRightInd w:val="0"/>
              <w:snapToGrid w:val="0"/>
              <w:spacing w:line="360" w:lineRule="auto"/>
              <w:rPr>
                <w:rFonts w:ascii="华文楷体" w:hAnsi="华文楷体" w:eastAsia="华文楷体" w:cs="华文楷体"/>
                <w:szCs w:val="21"/>
              </w:rPr>
            </w:pPr>
          </w:p>
          <w:p w14:paraId="0555667E">
            <w:pPr>
              <w:adjustRightInd w:val="0"/>
              <w:snapToGrid w:val="0"/>
              <w:spacing w:line="360" w:lineRule="auto"/>
              <w:rPr>
                <w:rFonts w:ascii="华文楷体" w:hAnsi="华文楷体" w:eastAsia="华文楷体" w:cs="华文楷体"/>
                <w:szCs w:val="21"/>
              </w:rPr>
            </w:pPr>
          </w:p>
          <w:p w14:paraId="1E820010">
            <w:pPr>
              <w:adjustRightInd w:val="0"/>
              <w:snapToGrid w:val="0"/>
              <w:spacing w:line="360" w:lineRule="auto"/>
              <w:rPr>
                <w:rFonts w:ascii="华文楷体" w:hAnsi="华文楷体" w:eastAsia="华文楷体" w:cs="华文楷体"/>
                <w:szCs w:val="21"/>
              </w:rPr>
            </w:pPr>
          </w:p>
          <w:p w14:paraId="1FC3CB35">
            <w:pPr>
              <w:adjustRightInd w:val="0"/>
              <w:snapToGrid w:val="0"/>
              <w:spacing w:line="360" w:lineRule="auto"/>
              <w:rPr>
                <w:rFonts w:ascii="华文楷体" w:hAnsi="华文楷体" w:eastAsia="华文楷体" w:cs="华文楷体"/>
                <w:szCs w:val="21"/>
              </w:rPr>
            </w:pPr>
          </w:p>
          <w:p w14:paraId="20B8128B">
            <w:pPr>
              <w:adjustRightInd w:val="0"/>
              <w:snapToGrid w:val="0"/>
              <w:spacing w:line="360" w:lineRule="auto"/>
              <w:rPr>
                <w:rFonts w:ascii="华文楷体" w:hAnsi="华文楷体" w:eastAsia="华文楷体" w:cs="华文楷体"/>
                <w:szCs w:val="21"/>
              </w:rPr>
            </w:pPr>
          </w:p>
          <w:p w14:paraId="64B39B36">
            <w:pPr>
              <w:adjustRightInd w:val="0"/>
              <w:snapToGrid w:val="0"/>
              <w:spacing w:line="360" w:lineRule="auto"/>
              <w:rPr>
                <w:rFonts w:ascii="华文楷体" w:hAnsi="华文楷体" w:eastAsia="华文楷体" w:cs="华文楷体"/>
                <w:szCs w:val="21"/>
              </w:rPr>
            </w:pPr>
          </w:p>
          <w:p w14:paraId="506C7A3C">
            <w:pPr>
              <w:adjustRightInd w:val="0"/>
              <w:snapToGrid w:val="0"/>
              <w:spacing w:line="360" w:lineRule="auto"/>
              <w:rPr>
                <w:rFonts w:ascii="华文楷体" w:hAnsi="华文楷体" w:eastAsia="华文楷体" w:cs="华文楷体"/>
                <w:szCs w:val="21"/>
              </w:rPr>
            </w:pPr>
          </w:p>
          <w:p w14:paraId="32F9F501">
            <w:pPr>
              <w:adjustRightInd w:val="0"/>
              <w:snapToGrid w:val="0"/>
              <w:spacing w:line="360" w:lineRule="auto"/>
              <w:rPr>
                <w:rFonts w:ascii="华文楷体" w:hAnsi="华文楷体" w:eastAsia="华文楷体" w:cs="华文楷体"/>
                <w:szCs w:val="21"/>
              </w:rPr>
            </w:pPr>
          </w:p>
          <w:p w14:paraId="596E1735">
            <w:pPr>
              <w:adjustRightInd w:val="0"/>
              <w:snapToGrid w:val="0"/>
              <w:spacing w:line="360" w:lineRule="auto"/>
              <w:rPr>
                <w:rFonts w:ascii="华文楷体" w:hAnsi="华文楷体" w:eastAsia="华文楷体" w:cs="华文楷体"/>
                <w:szCs w:val="21"/>
              </w:rPr>
            </w:pPr>
          </w:p>
          <w:p w14:paraId="0A9DBBFE">
            <w:pPr>
              <w:adjustRightInd w:val="0"/>
              <w:snapToGrid w:val="0"/>
              <w:spacing w:line="360" w:lineRule="auto"/>
              <w:rPr>
                <w:rFonts w:ascii="华文楷体" w:hAnsi="华文楷体" w:eastAsia="华文楷体" w:cs="华文楷体"/>
                <w:szCs w:val="21"/>
              </w:rPr>
            </w:pPr>
          </w:p>
          <w:p w14:paraId="0E5BFC0D">
            <w:pPr>
              <w:adjustRightInd w:val="0"/>
              <w:snapToGrid w:val="0"/>
              <w:spacing w:line="360" w:lineRule="auto"/>
              <w:rPr>
                <w:rFonts w:ascii="华文楷体" w:hAnsi="华文楷体" w:eastAsia="华文楷体" w:cs="华文楷体"/>
                <w:szCs w:val="21"/>
              </w:rPr>
            </w:pPr>
          </w:p>
          <w:p w14:paraId="441BA076">
            <w:pPr>
              <w:adjustRightInd w:val="0"/>
              <w:snapToGrid w:val="0"/>
              <w:spacing w:line="360" w:lineRule="auto"/>
              <w:rPr>
                <w:rFonts w:ascii="华文楷体" w:hAnsi="华文楷体" w:eastAsia="华文楷体" w:cs="华文楷体"/>
                <w:szCs w:val="21"/>
              </w:rPr>
            </w:pPr>
          </w:p>
        </w:tc>
      </w:tr>
      <w:tr w14:paraId="7CBC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2" w:hRule="atLeast"/>
        </w:trPr>
        <w:tc>
          <w:tcPr>
            <w:tcW w:w="1196" w:type="dxa"/>
            <w:tcBorders>
              <w:top w:val="single" w:color="auto" w:sz="4" w:space="0"/>
              <w:left w:val="single" w:color="auto" w:sz="4" w:space="0"/>
              <w:bottom w:val="single" w:color="auto" w:sz="4" w:space="0"/>
              <w:right w:val="single" w:color="auto" w:sz="4" w:space="0"/>
            </w:tcBorders>
            <w:vAlign w:val="center"/>
          </w:tcPr>
          <w:p w14:paraId="22D50AD3">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教务部门审核意见</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46717F3E">
            <w:pPr>
              <w:adjustRightInd w:val="0"/>
              <w:snapToGrid w:val="0"/>
              <w:spacing w:line="360" w:lineRule="auto"/>
              <w:ind w:firstLine="420" w:firstLineChars="200"/>
              <w:jc w:val="right"/>
              <w:rPr>
                <w:rFonts w:ascii="华文楷体" w:hAnsi="华文楷体" w:eastAsia="华文楷体" w:cs="华文楷体"/>
                <w:szCs w:val="21"/>
              </w:rPr>
            </w:pPr>
          </w:p>
          <w:p w14:paraId="26CF7D3A">
            <w:pPr>
              <w:adjustRightInd w:val="0"/>
              <w:snapToGrid w:val="0"/>
              <w:spacing w:line="360" w:lineRule="auto"/>
              <w:ind w:firstLine="420" w:firstLineChars="200"/>
              <w:jc w:val="right"/>
              <w:rPr>
                <w:rFonts w:ascii="微软雅黑" w:hAnsi="微软雅黑" w:eastAsia="微软雅黑" w:cs="宋体"/>
                <w:szCs w:val="21"/>
              </w:rPr>
            </w:pPr>
          </w:p>
          <w:p w14:paraId="173237AF">
            <w:pPr>
              <w:bidi w:val="0"/>
              <w:jc w:val="right"/>
              <w:rPr>
                <w:rFonts w:asciiTheme="minorHAnsi" w:hAnsiTheme="minorHAnsi" w:eastAsiaTheme="minorEastAsia" w:cstheme="minorBidi"/>
                <w:kern w:val="2"/>
                <w:sz w:val="21"/>
                <w:szCs w:val="22"/>
                <w:lang w:val="en-US" w:eastAsia="zh-CN" w:bidi="ar-SA"/>
              </w:rPr>
            </w:pPr>
          </w:p>
          <w:p w14:paraId="3440CE37">
            <w:pPr>
              <w:keepNext w:val="0"/>
              <w:keepLines w:val="0"/>
              <w:pageBreakBefore w:val="0"/>
              <w:widowControl w:val="0"/>
              <w:tabs>
                <w:tab w:val="left" w:pos="5992"/>
              </w:tabs>
              <w:kinsoku/>
              <w:wordWrap/>
              <w:overflowPunct/>
              <w:topLinePunct w:val="0"/>
              <w:autoSpaceDE/>
              <w:autoSpaceDN/>
              <w:bidi w:val="0"/>
              <w:adjustRightInd w:val="0"/>
              <w:snapToGrid w:val="0"/>
              <w:spacing w:line="360" w:lineRule="auto"/>
              <w:ind w:left="1050" w:leftChars="500" w:firstLine="4200" w:firstLineChars="2000"/>
              <w:jc w:val="both"/>
              <w:textAlignment w:val="auto"/>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签字:</w:t>
            </w:r>
          </w:p>
          <w:p w14:paraId="11EA997A">
            <w:pPr>
              <w:keepNext w:val="0"/>
              <w:keepLines w:val="0"/>
              <w:pageBreakBefore w:val="0"/>
              <w:widowControl w:val="0"/>
              <w:tabs>
                <w:tab w:val="left" w:pos="5992"/>
              </w:tabs>
              <w:kinsoku/>
              <w:wordWrap/>
              <w:overflowPunct/>
              <w:topLinePunct w:val="0"/>
              <w:autoSpaceDE/>
              <w:autoSpaceDN/>
              <w:bidi w:val="0"/>
              <w:adjustRightInd w:val="0"/>
              <w:snapToGrid w:val="0"/>
              <w:spacing w:line="360" w:lineRule="auto"/>
              <w:ind w:left="1050" w:leftChars="500" w:firstLine="4200" w:firstLineChars="2000"/>
              <w:jc w:val="both"/>
              <w:textAlignment w:val="auto"/>
              <w:rPr>
                <w:lang w:val="en-US" w:eastAsia="zh-CN"/>
              </w:rPr>
            </w:pPr>
            <w:r>
              <w:rPr>
                <w:rFonts w:hint="eastAsia" w:ascii="微软雅黑" w:hAnsi="微软雅黑" w:eastAsia="微软雅黑" w:cs="宋体"/>
                <w:szCs w:val="21"/>
              </w:rPr>
              <w:t>年  月  日</w:t>
            </w:r>
          </w:p>
        </w:tc>
      </w:tr>
      <w:tr w14:paraId="2A9F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2" w:hRule="atLeast"/>
        </w:trPr>
        <w:tc>
          <w:tcPr>
            <w:tcW w:w="1196" w:type="dxa"/>
            <w:tcBorders>
              <w:top w:val="single" w:color="auto" w:sz="4" w:space="0"/>
              <w:left w:val="single" w:color="auto" w:sz="4" w:space="0"/>
              <w:bottom w:val="single" w:color="auto" w:sz="4" w:space="0"/>
              <w:right w:val="single" w:color="auto" w:sz="4" w:space="0"/>
            </w:tcBorders>
            <w:vAlign w:val="center"/>
          </w:tcPr>
          <w:p w14:paraId="641BAAD9">
            <w:pPr>
              <w:adjustRightInd w:val="0"/>
              <w:snapToGrid w:val="0"/>
              <w:spacing w:line="360" w:lineRule="auto"/>
              <w:jc w:val="center"/>
              <w:rPr>
                <w:rFonts w:hint="eastAsia" w:ascii="微软雅黑" w:hAnsi="微软雅黑" w:eastAsia="微软雅黑" w:cs="宋体"/>
                <w:szCs w:val="21"/>
              </w:rPr>
            </w:pPr>
            <w:r>
              <w:rPr>
                <w:rFonts w:hint="eastAsia" w:ascii="微软雅黑" w:hAnsi="微软雅黑" w:eastAsia="微软雅黑" w:cs="宋体"/>
                <w:szCs w:val="21"/>
                <w:lang w:val="en-US" w:eastAsia="zh-CN"/>
              </w:rPr>
              <w:t>学工</w:t>
            </w:r>
            <w:r>
              <w:rPr>
                <w:rFonts w:hint="eastAsia" w:ascii="微软雅黑" w:hAnsi="微软雅黑" w:eastAsia="微软雅黑" w:cs="宋体"/>
                <w:szCs w:val="21"/>
              </w:rPr>
              <w:t>部门审核意见</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49B88B3E">
            <w:pPr>
              <w:adjustRightInd w:val="0"/>
              <w:snapToGrid w:val="0"/>
              <w:spacing w:line="360" w:lineRule="auto"/>
              <w:ind w:firstLine="420" w:firstLineChars="200"/>
              <w:rPr>
                <w:rFonts w:ascii="微软雅黑" w:hAnsi="微软雅黑" w:eastAsia="微软雅黑" w:cs="宋体"/>
                <w:szCs w:val="21"/>
              </w:rPr>
            </w:pPr>
          </w:p>
          <w:p w14:paraId="64193A4A">
            <w:pPr>
              <w:bidi w:val="0"/>
              <w:rPr>
                <w:rFonts w:asciiTheme="minorHAnsi" w:hAnsiTheme="minorHAnsi" w:eastAsiaTheme="minorEastAsia" w:cstheme="minorBidi"/>
                <w:kern w:val="2"/>
                <w:sz w:val="21"/>
                <w:szCs w:val="22"/>
                <w:lang w:val="en-US" w:eastAsia="zh-CN" w:bidi="ar-SA"/>
              </w:rPr>
            </w:pPr>
          </w:p>
          <w:p w14:paraId="5572B9C7">
            <w:pPr>
              <w:bidi w:val="0"/>
              <w:rPr>
                <w:lang w:val="en-US" w:eastAsia="zh-CN"/>
              </w:rPr>
            </w:pPr>
          </w:p>
          <w:p w14:paraId="2FCC44F7">
            <w:pPr>
              <w:bidi w:val="0"/>
              <w:rPr>
                <w:lang w:val="en-US" w:eastAsia="zh-CN"/>
              </w:rPr>
            </w:pPr>
          </w:p>
          <w:p w14:paraId="6135EFDC">
            <w:pPr>
              <w:keepNext w:val="0"/>
              <w:keepLines w:val="0"/>
              <w:pageBreakBefore w:val="0"/>
              <w:widowControl w:val="0"/>
              <w:tabs>
                <w:tab w:val="left" w:pos="5992"/>
              </w:tabs>
              <w:kinsoku/>
              <w:wordWrap/>
              <w:overflowPunct/>
              <w:topLinePunct w:val="0"/>
              <w:autoSpaceDE/>
              <w:autoSpaceDN/>
              <w:bidi w:val="0"/>
              <w:adjustRightInd w:val="0"/>
              <w:snapToGrid w:val="0"/>
              <w:spacing w:line="360" w:lineRule="auto"/>
              <w:ind w:left="1050" w:leftChars="500" w:firstLine="4200" w:firstLineChars="2000"/>
              <w:jc w:val="both"/>
              <w:textAlignment w:val="auto"/>
              <w:rPr>
                <w:rFonts w:hint="eastAsia" w:ascii="微软雅黑" w:hAnsi="微软雅黑" w:eastAsia="微软雅黑" w:cs="宋体"/>
                <w:szCs w:val="21"/>
                <w:lang w:val="en-US" w:eastAsia="zh-CN"/>
              </w:rPr>
            </w:pPr>
            <w:bookmarkStart w:id="0" w:name="_GoBack"/>
            <w:bookmarkEnd w:id="0"/>
            <w:r>
              <w:rPr>
                <w:rFonts w:hint="eastAsia" w:ascii="微软雅黑" w:hAnsi="微软雅黑" w:eastAsia="微软雅黑" w:cs="宋体"/>
                <w:szCs w:val="21"/>
                <w:lang w:val="en-US" w:eastAsia="zh-CN"/>
              </w:rPr>
              <w:t>签字:</w:t>
            </w:r>
          </w:p>
          <w:p w14:paraId="6CD41505">
            <w:pPr>
              <w:tabs>
                <w:tab w:val="left" w:pos="5348"/>
              </w:tabs>
              <w:bidi w:val="0"/>
              <w:ind w:firstLine="5250" w:firstLineChars="2500"/>
              <w:jc w:val="left"/>
              <w:rPr>
                <w:lang w:val="en-US" w:eastAsia="zh-CN"/>
              </w:rPr>
            </w:pPr>
            <w:r>
              <w:rPr>
                <w:rFonts w:hint="eastAsia" w:ascii="微软雅黑" w:hAnsi="微软雅黑" w:eastAsia="微软雅黑" w:cs="宋体"/>
                <w:szCs w:val="21"/>
              </w:rPr>
              <w:t>年  月  日</w:t>
            </w:r>
          </w:p>
        </w:tc>
      </w:tr>
      <w:tr w14:paraId="5545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9" w:hRule="atLeast"/>
        </w:trPr>
        <w:tc>
          <w:tcPr>
            <w:tcW w:w="1196" w:type="dxa"/>
            <w:tcBorders>
              <w:top w:val="single" w:color="auto" w:sz="4" w:space="0"/>
              <w:left w:val="single" w:color="auto" w:sz="4" w:space="0"/>
              <w:bottom w:val="single" w:color="auto" w:sz="4" w:space="0"/>
              <w:right w:val="single" w:color="auto" w:sz="4" w:space="0"/>
            </w:tcBorders>
            <w:vAlign w:val="center"/>
          </w:tcPr>
          <w:p w14:paraId="57A95EC6">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评审小组意见</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7CB38487">
            <w:pPr>
              <w:adjustRightInd w:val="0"/>
              <w:snapToGrid w:val="0"/>
              <w:spacing w:line="360" w:lineRule="auto"/>
              <w:ind w:firstLine="420" w:firstLineChars="200"/>
              <w:rPr>
                <w:rFonts w:ascii="华文楷体" w:hAnsi="华文楷体" w:eastAsia="华文楷体" w:cs="华文楷体"/>
                <w:szCs w:val="21"/>
              </w:rPr>
            </w:pPr>
          </w:p>
          <w:p w14:paraId="2CBF7E8D">
            <w:pPr>
              <w:adjustRightInd w:val="0"/>
              <w:snapToGrid w:val="0"/>
              <w:spacing w:line="360" w:lineRule="auto"/>
              <w:ind w:firstLine="420" w:firstLineChars="200"/>
              <w:rPr>
                <w:rFonts w:ascii="华文楷体" w:hAnsi="华文楷体" w:eastAsia="华文楷体" w:cs="华文楷体"/>
                <w:szCs w:val="21"/>
              </w:rPr>
            </w:pPr>
          </w:p>
          <w:p w14:paraId="1F3E86A8">
            <w:pPr>
              <w:adjustRightInd w:val="0"/>
              <w:snapToGrid w:val="0"/>
              <w:spacing w:line="360" w:lineRule="auto"/>
              <w:ind w:firstLine="420" w:firstLineChars="200"/>
              <w:rPr>
                <w:rFonts w:ascii="华文楷体" w:hAnsi="华文楷体" w:eastAsia="华文楷体" w:cs="华文楷体"/>
                <w:szCs w:val="21"/>
              </w:rPr>
            </w:pPr>
          </w:p>
          <w:p w14:paraId="3A94108F">
            <w:pPr>
              <w:adjustRightInd w:val="0"/>
              <w:snapToGrid w:val="0"/>
              <w:spacing w:line="360" w:lineRule="auto"/>
              <w:ind w:firstLine="420" w:firstLineChars="200"/>
              <w:rPr>
                <w:rFonts w:ascii="华文楷体" w:hAnsi="华文楷体" w:eastAsia="华文楷体" w:cs="华文楷体"/>
                <w:szCs w:val="21"/>
              </w:rPr>
            </w:pPr>
          </w:p>
          <w:p w14:paraId="48EAC3BD">
            <w:pPr>
              <w:adjustRightInd w:val="0"/>
              <w:snapToGrid w:val="0"/>
              <w:spacing w:line="360" w:lineRule="auto"/>
              <w:ind w:firstLine="420" w:firstLineChars="200"/>
              <w:rPr>
                <w:rFonts w:ascii="华文楷体" w:hAnsi="华文楷体" w:eastAsia="华文楷体" w:cs="华文楷体"/>
                <w:szCs w:val="21"/>
              </w:rPr>
            </w:pPr>
          </w:p>
          <w:p w14:paraId="294109AC">
            <w:pPr>
              <w:adjustRightInd w:val="0"/>
              <w:snapToGrid w:val="0"/>
              <w:spacing w:line="360" w:lineRule="auto"/>
              <w:ind w:firstLine="420" w:firstLineChars="200"/>
              <w:rPr>
                <w:rFonts w:ascii="华文楷体" w:hAnsi="华文楷体" w:eastAsia="华文楷体" w:cs="华文楷体"/>
                <w:szCs w:val="21"/>
              </w:rPr>
            </w:pPr>
          </w:p>
          <w:p w14:paraId="1404FE7F">
            <w:pPr>
              <w:adjustRightInd w:val="0"/>
              <w:snapToGrid w:val="0"/>
              <w:spacing w:line="360" w:lineRule="auto"/>
              <w:ind w:firstLine="420" w:firstLineChars="200"/>
              <w:rPr>
                <w:rFonts w:ascii="华文楷体" w:hAnsi="华文楷体" w:eastAsia="华文楷体" w:cs="华文楷体"/>
                <w:szCs w:val="21"/>
              </w:rPr>
            </w:pPr>
          </w:p>
          <w:p w14:paraId="4FE6EBBA">
            <w:pPr>
              <w:adjustRightInd w:val="0"/>
              <w:snapToGrid w:val="0"/>
              <w:spacing w:line="360" w:lineRule="auto"/>
              <w:ind w:firstLine="420" w:firstLineChars="200"/>
              <w:rPr>
                <w:rFonts w:ascii="华文楷体" w:hAnsi="华文楷体" w:eastAsia="华文楷体" w:cs="华文楷体"/>
                <w:szCs w:val="21"/>
              </w:rPr>
            </w:pPr>
          </w:p>
          <w:p w14:paraId="19A97B15">
            <w:pPr>
              <w:adjustRightInd w:val="0"/>
              <w:snapToGrid w:val="0"/>
              <w:spacing w:line="360" w:lineRule="auto"/>
              <w:ind w:firstLine="420" w:firstLineChars="200"/>
              <w:rPr>
                <w:rFonts w:ascii="华文楷体" w:hAnsi="华文楷体" w:eastAsia="华文楷体" w:cs="华文楷体"/>
                <w:szCs w:val="21"/>
              </w:rPr>
            </w:pPr>
          </w:p>
          <w:p w14:paraId="65765355">
            <w:pPr>
              <w:adjustRightInd w:val="0"/>
              <w:snapToGrid w:val="0"/>
              <w:spacing w:line="360" w:lineRule="auto"/>
              <w:ind w:firstLine="420" w:firstLineChars="200"/>
              <w:rPr>
                <w:rFonts w:ascii="华文楷体" w:hAnsi="华文楷体" w:eastAsia="华文楷体" w:cs="华文楷体"/>
                <w:szCs w:val="21"/>
              </w:rPr>
            </w:pPr>
          </w:p>
          <w:p w14:paraId="5030B03B">
            <w:pPr>
              <w:adjustRightInd w:val="0"/>
              <w:snapToGrid w:val="0"/>
              <w:spacing w:line="360" w:lineRule="auto"/>
              <w:ind w:firstLine="420" w:firstLineChars="200"/>
              <w:rPr>
                <w:rFonts w:ascii="华文楷体" w:hAnsi="华文楷体" w:eastAsia="华文楷体" w:cs="华文楷体"/>
                <w:szCs w:val="21"/>
              </w:rPr>
            </w:pPr>
          </w:p>
          <w:p w14:paraId="7A21336D">
            <w:pPr>
              <w:adjustRightInd w:val="0"/>
              <w:snapToGrid w:val="0"/>
              <w:spacing w:line="360" w:lineRule="auto"/>
              <w:ind w:firstLine="420" w:firstLineChars="200"/>
              <w:rPr>
                <w:rFonts w:ascii="华文楷体" w:hAnsi="华文楷体" w:eastAsia="华文楷体" w:cs="华文楷体"/>
                <w:szCs w:val="21"/>
              </w:rPr>
            </w:pPr>
          </w:p>
          <w:p w14:paraId="0E853299">
            <w:pPr>
              <w:adjustRightInd w:val="0"/>
              <w:snapToGrid w:val="0"/>
              <w:spacing w:line="360" w:lineRule="auto"/>
              <w:ind w:firstLine="420" w:firstLineChars="200"/>
              <w:rPr>
                <w:rFonts w:ascii="华文楷体" w:hAnsi="华文楷体" w:eastAsia="华文楷体" w:cs="华文楷体"/>
                <w:szCs w:val="21"/>
              </w:rPr>
            </w:pPr>
          </w:p>
          <w:p w14:paraId="3D51B66D">
            <w:pPr>
              <w:adjustRightInd w:val="0"/>
              <w:snapToGrid w:val="0"/>
              <w:spacing w:line="360" w:lineRule="auto"/>
              <w:ind w:firstLine="420" w:firstLineChars="200"/>
              <w:rPr>
                <w:rFonts w:ascii="华文楷体" w:hAnsi="华文楷体" w:eastAsia="华文楷体" w:cs="华文楷体"/>
                <w:szCs w:val="21"/>
              </w:rPr>
            </w:pPr>
          </w:p>
          <w:p w14:paraId="48B6DAC6">
            <w:pPr>
              <w:adjustRightInd w:val="0"/>
              <w:snapToGrid w:val="0"/>
              <w:spacing w:line="360" w:lineRule="auto"/>
              <w:rPr>
                <w:rFonts w:ascii="华文楷体" w:hAnsi="华文楷体" w:eastAsia="华文楷体" w:cs="华文楷体"/>
                <w:szCs w:val="21"/>
              </w:rPr>
            </w:pPr>
          </w:p>
          <w:p w14:paraId="690686CA">
            <w:pPr>
              <w:adjustRightInd w:val="0"/>
              <w:snapToGrid w:val="0"/>
              <w:spacing w:line="360" w:lineRule="auto"/>
              <w:ind w:firstLine="420" w:firstLineChars="200"/>
              <w:rPr>
                <w:rFonts w:ascii="华文楷体" w:hAnsi="华文楷体" w:eastAsia="华文楷体" w:cs="华文楷体"/>
                <w:szCs w:val="21"/>
              </w:rPr>
            </w:pPr>
          </w:p>
          <w:p w14:paraId="0AD93BB1">
            <w:pPr>
              <w:adjustRightInd w:val="0"/>
              <w:snapToGrid w:val="0"/>
              <w:spacing w:line="360" w:lineRule="auto"/>
              <w:ind w:firstLine="420" w:firstLineChars="200"/>
              <w:rPr>
                <w:rFonts w:ascii="华文楷体" w:hAnsi="华文楷体" w:eastAsia="华文楷体" w:cs="华文楷体"/>
                <w:szCs w:val="21"/>
              </w:rPr>
            </w:pPr>
          </w:p>
          <w:p w14:paraId="356E0D3C">
            <w:pPr>
              <w:adjustRightInd w:val="0"/>
              <w:snapToGrid w:val="0"/>
              <w:spacing w:line="360" w:lineRule="auto"/>
              <w:ind w:firstLine="420" w:firstLineChars="200"/>
              <w:rPr>
                <w:rFonts w:ascii="华文楷体" w:hAnsi="华文楷体" w:eastAsia="华文楷体" w:cs="华文楷体"/>
                <w:szCs w:val="21"/>
              </w:rPr>
            </w:pPr>
          </w:p>
          <w:p w14:paraId="0384E037">
            <w:pPr>
              <w:adjustRightInd w:val="0"/>
              <w:snapToGrid w:val="0"/>
              <w:spacing w:line="360" w:lineRule="auto"/>
              <w:ind w:firstLine="420" w:firstLineChars="200"/>
              <w:rPr>
                <w:rFonts w:ascii="华文楷体" w:hAnsi="华文楷体" w:eastAsia="华文楷体" w:cs="华文楷体"/>
                <w:szCs w:val="21"/>
              </w:rPr>
            </w:pPr>
          </w:p>
          <w:p w14:paraId="1DCF9145">
            <w:pPr>
              <w:adjustRightInd w:val="0"/>
              <w:snapToGrid w:val="0"/>
              <w:spacing w:line="360" w:lineRule="auto"/>
              <w:ind w:firstLine="3780" w:firstLineChars="1800"/>
              <w:rPr>
                <w:rFonts w:ascii="微软雅黑" w:hAnsi="微软雅黑" w:eastAsia="微软雅黑" w:cs="宋体"/>
                <w:szCs w:val="21"/>
              </w:rPr>
            </w:pPr>
            <w:r>
              <w:rPr>
                <w:rFonts w:hint="eastAsia" w:ascii="微软雅黑" w:hAnsi="微软雅黑" w:eastAsia="微软雅黑" w:cs="宋体"/>
                <w:szCs w:val="21"/>
              </w:rPr>
              <w:t>评审小组成员签字：</w:t>
            </w:r>
          </w:p>
          <w:p w14:paraId="5379B8A9">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 xml:space="preserve"> </w:t>
            </w:r>
            <w:r>
              <w:rPr>
                <w:rFonts w:ascii="微软雅黑" w:hAnsi="微软雅黑" w:eastAsia="微软雅黑" w:cs="宋体"/>
                <w:szCs w:val="21"/>
              </w:rPr>
              <w:t xml:space="preserve">            </w:t>
            </w:r>
            <w:r>
              <w:rPr>
                <w:rFonts w:hint="eastAsia" w:ascii="微软雅黑" w:hAnsi="微软雅黑" w:eastAsia="微软雅黑" w:cs="宋体"/>
                <w:szCs w:val="21"/>
              </w:rPr>
              <w:t xml:space="preserve">                </w:t>
            </w:r>
            <w:r>
              <w:rPr>
                <w:rFonts w:ascii="微软雅黑" w:hAnsi="微软雅黑" w:eastAsia="微软雅黑" w:cs="宋体"/>
                <w:szCs w:val="21"/>
              </w:rPr>
              <w:t xml:space="preserve"> </w:t>
            </w:r>
            <w:r>
              <w:rPr>
                <w:rFonts w:hint="eastAsia" w:ascii="微软雅黑" w:hAnsi="微软雅黑" w:eastAsia="微软雅黑" w:cs="宋体"/>
                <w:szCs w:val="21"/>
              </w:rPr>
              <w:t>年   月   日</w:t>
            </w:r>
          </w:p>
        </w:tc>
      </w:tr>
      <w:tr w14:paraId="25D0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9" w:hRule="atLeast"/>
        </w:trPr>
        <w:tc>
          <w:tcPr>
            <w:tcW w:w="1196" w:type="dxa"/>
            <w:tcBorders>
              <w:top w:val="single" w:color="auto" w:sz="4" w:space="0"/>
              <w:left w:val="single" w:color="auto" w:sz="4" w:space="0"/>
              <w:bottom w:val="single" w:color="auto" w:sz="4" w:space="0"/>
              <w:right w:val="single" w:color="auto" w:sz="4" w:space="0"/>
            </w:tcBorders>
            <w:vAlign w:val="center"/>
          </w:tcPr>
          <w:p w14:paraId="21E92DFA">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学院审批意见</w:t>
            </w:r>
          </w:p>
        </w:tc>
        <w:tc>
          <w:tcPr>
            <w:tcW w:w="8231" w:type="dxa"/>
            <w:gridSpan w:val="7"/>
            <w:tcBorders>
              <w:top w:val="single" w:color="auto" w:sz="4" w:space="0"/>
              <w:left w:val="single" w:color="auto" w:sz="4" w:space="0"/>
              <w:bottom w:val="single" w:color="auto" w:sz="4" w:space="0"/>
              <w:right w:val="single" w:color="auto" w:sz="4" w:space="0"/>
            </w:tcBorders>
            <w:vAlign w:val="center"/>
          </w:tcPr>
          <w:p w14:paraId="07E3C9E7">
            <w:pPr>
              <w:adjustRightInd w:val="0"/>
              <w:snapToGrid w:val="0"/>
              <w:spacing w:line="360" w:lineRule="auto"/>
              <w:jc w:val="center"/>
              <w:rPr>
                <w:rFonts w:ascii="微软雅黑" w:hAnsi="微软雅黑" w:eastAsia="微软雅黑" w:cs="宋体"/>
                <w:szCs w:val="21"/>
              </w:rPr>
            </w:pPr>
          </w:p>
          <w:p w14:paraId="0F048A96">
            <w:pPr>
              <w:adjustRightInd w:val="0"/>
              <w:snapToGrid w:val="0"/>
              <w:spacing w:line="360" w:lineRule="auto"/>
              <w:rPr>
                <w:rFonts w:ascii="微软雅黑" w:hAnsi="微软雅黑" w:eastAsia="微软雅黑" w:cs="宋体"/>
                <w:szCs w:val="21"/>
              </w:rPr>
            </w:pPr>
            <w:r>
              <w:rPr>
                <w:rFonts w:hint="eastAsia" w:ascii="微软雅黑" w:hAnsi="微软雅黑" w:eastAsia="微软雅黑" w:cs="宋体"/>
                <w:szCs w:val="21"/>
              </w:rPr>
              <w:t xml:space="preserve"> </w:t>
            </w:r>
            <w:r>
              <w:rPr>
                <w:rFonts w:ascii="微软雅黑" w:hAnsi="微软雅黑" w:eastAsia="微软雅黑" w:cs="宋体"/>
                <w:szCs w:val="21"/>
              </w:rPr>
              <w:t xml:space="preserve">         </w:t>
            </w:r>
          </w:p>
          <w:p w14:paraId="160DF3AE">
            <w:pPr>
              <w:adjustRightInd w:val="0"/>
              <w:snapToGrid w:val="0"/>
              <w:spacing w:line="360" w:lineRule="auto"/>
              <w:rPr>
                <w:rFonts w:ascii="微软雅黑" w:hAnsi="微软雅黑" w:eastAsia="微软雅黑" w:cs="宋体"/>
                <w:szCs w:val="21"/>
              </w:rPr>
            </w:pPr>
          </w:p>
          <w:p w14:paraId="53DE0D69">
            <w:pPr>
              <w:adjustRightInd w:val="0"/>
              <w:snapToGrid w:val="0"/>
              <w:spacing w:line="360" w:lineRule="auto"/>
              <w:rPr>
                <w:rFonts w:ascii="微软雅黑" w:hAnsi="微软雅黑" w:eastAsia="微软雅黑" w:cs="宋体"/>
                <w:szCs w:val="21"/>
              </w:rPr>
            </w:pPr>
            <w:r>
              <w:rPr>
                <w:rFonts w:ascii="微软雅黑" w:hAnsi="微软雅黑" w:eastAsia="微软雅黑" w:cs="宋体"/>
                <w:szCs w:val="21"/>
              </w:rPr>
              <w:t xml:space="preserve">                </w:t>
            </w:r>
          </w:p>
          <w:p w14:paraId="0B9473C8">
            <w:pPr>
              <w:adjustRightInd w:val="0"/>
              <w:snapToGrid w:val="0"/>
              <w:spacing w:line="360" w:lineRule="auto"/>
              <w:jc w:val="center"/>
              <w:rPr>
                <w:rFonts w:ascii="微软雅黑" w:hAnsi="微软雅黑" w:eastAsia="微软雅黑" w:cs="宋体"/>
                <w:szCs w:val="21"/>
              </w:rPr>
            </w:pPr>
          </w:p>
          <w:p w14:paraId="68DE9152">
            <w:pPr>
              <w:adjustRightInd w:val="0"/>
              <w:snapToGrid w:val="0"/>
              <w:spacing w:line="360" w:lineRule="auto"/>
              <w:jc w:val="center"/>
              <w:rPr>
                <w:rFonts w:ascii="微软雅黑" w:hAnsi="微软雅黑" w:eastAsia="微软雅黑" w:cs="宋体"/>
                <w:szCs w:val="21"/>
              </w:rPr>
            </w:pPr>
          </w:p>
          <w:p w14:paraId="2D25ADE4">
            <w:pPr>
              <w:adjustRightInd w:val="0"/>
              <w:snapToGrid w:val="0"/>
              <w:spacing w:line="360" w:lineRule="auto"/>
              <w:jc w:val="center"/>
              <w:rPr>
                <w:rFonts w:ascii="微软雅黑" w:hAnsi="微软雅黑" w:eastAsia="微软雅黑" w:cs="宋体"/>
                <w:szCs w:val="21"/>
              </w:rPr>
            </w:pPr>
          </w:p>
          <w:p w14:paraId="1FC9518F">
            <w:pPr>
              <w:adjustRightInd w:val="0"/>
              <w:snapToGrid w:val="0"/>
              <w:spacing w:line="360" w:lineRule="auto"/>
              <w:jc w:val="center"/>
              <w:rPr>
                <w:rFonts w:ascii="微软雅黑" w:hAnsi="微软雅黑" w:eastAsia="微软雅黑" w:cs="宋体"/>
                <w:szCs w:val="21"/>
              </w:rPr>
            </w:pPr>
            <w:r>
              <w:rPr>
                <w:rFonts w:ascii="微软雅黑" w:hAnsi="微软雅黑" w:eastAsia="微软雅黑" w:cs="宋体"/>
                <w:szCs w:val="21"/>
              </w:rPr>
              <w:t xml:space="preserve"> </w:t>
            </w:r>
            <w:r>
              <w:rPr>
                <w:rFonts w:hint="eastAsia" w:ascii="微软雅黑" w:hAnsi="微软雅黑" w:eastAsia="微软雅黑" w:cs="宋体"/>
                <w:szCs w:val="21"/>
              </w:rPr>
              <w:t>盖章：</w:t>
            </w:r>
          </w:p>
          <w:p w14:paraId="3C37DFFD">
            <w:pPr>
              <w:adjustRightInd w:val="0"/>
              <w:snapToGrid w:val="0"/>
              <w:spacing w:line="360" w:lineRule="auto"/>
              <w:jc w:val="center"/>
              <w:rPr>
                <w:rFonts w:ascii="微软雅黑" w:hAnsi="微软雅黑" w:eastAsia="微软雅黑" w:cs="宋体"/>
                <w:szCs w:val="21"/>
              </w:rPr>
            </w:pPr>
            <w:r>
              <w:rPr>
                <w:rFonts w:hint="eastAsia" w:ascii="微软雅黑" w:hAnsi="微软雅黑" w:eastAsia="微软雅黑" w:cs="宋体"/>
                <w:szCs w:val="21"/>
              </w:rPr>
              <w:t xml:space="preserve"> </w:t>
            </w:r>
            <w:r>
              <w:rPr>
                <w:rFonts w:ascii="微软雅黑" w:hAnsi="微软雅黑" w:eastAsia="微软雅黑" w:cs="宋体"/>
                <w:szCs w:val="21"/>
              </w:rPr>
              <w:t xml:space="preserve">                                               </w:t>
            </w:r>
            <w:r>
              <w:rPr>
                <w:rFonts w:hint="eastAsia" w:ascii="微软雅黑" w:hAnsi="微软雅黑" w:eastAsia="微软雅黑" w:cs="宋体"/>
                <w:szCs w:val="21"/>
              </w:rPr>
              <w:t>年  月  日</w:t>
            </w:r>
          </w:p>
        </w:tc>
      </w:tr>
    </w:tbl>
    <w:p w14:paraId="339A208D">
      <w:pPr>
        <w:pStyle w:val="5"/>
        <w:shd w:val="clear" w:color="auto" w:fill="FFFFFF"/>
        <w:spacing w:before="0" w:beforeAutospacing="0" w:after="0" w:afterAutospacing="0" w:line="360" w:lineRule="auto"/>
        <w:rPr>
          <w:rFonts w:ascii="仿宋" w:hAnsi="仿宋" w:eastAsia="仿宋"/>
          <w:b/>
          <w:sz w:val="32"/>
        </w:rPr>
      </w:pPr>
    </w:p>
    <w:p w14:paraId="53D260AD"/>
    <w:p w14:paraId="671B99B3">
      <w:pPr>
        <w:pStyle w:val="5"/>
        <w:shd w:val="clear" w:color="auto" w:fill="FFFFFF"/>
        <w:spacing w:before="0" w:beforeAutospacing="0" w:after="0" w:afterAutospacing="0" w:line="360" w:lineRule="auto"/>
        <w:rPr>
          <w:rFonts w:ascii="仿宋" w:hAnsi="仿宋" w:eastAsia="仿宋"/>
          <w:b/>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9A8761-943F-4BF3-898C-E0B36D8614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5796B23-18A2-43AE-BE7E-2A1F42BDFD60}"/>
  </w:font>
  <w:font w:name="仿宋">
    <w:panose1 w:val="02010609060101010101"/>
    <w:charset w:val="86"/>
    <w:family w:val="modern"/>
    <w:pitch w:val="default"/>
    <w:sig w:usb0="800002BF" w:usb1="38CF7CFA" w:usb2="00000016" w:usb3="00000000" w:csb0="00040001" w:csb1="00000000"/>
    <w:embedRegular r:id="rId3" w:fontKey="{383365F7-3D79-4448-B90A-DE45710958E2}"/>
  </w:font>
  <w:font w:name="等线 Light">
    <w:panose1 w:val="02010600030101010101"/>
    <w:charset w:val="86"/>
    <w:family w:val="auto"/>
    <w:pitch w:val="default"/>
    <w:sig w:usb0="A00002BF" w:usb1="38CF7CFA" w:usb2="00000016" w:usb3="00000000" w:csb0="0004000F" w:csb1="00000000"/>
  </w:font>
  <w:font w:name="方正粗黑宋简体">
    <w:panose1 w:val="02000000000000000000"/>
    <w:charset w:val="86"/>
    <w:family w:val="auto"/>
    <w:pitch w:val="default"/>
    <w:sig w:usb0="A00002BF" w:usb1="184F6CFA" w:usb2="00000012" w:usb3="00000000" w:csb0="00040001" w:csb1="00000000"/>
    <w:embedRegular r:id="rId4" w:fontKey="{5CB8DE25-E0A6-4B42-A1BF-055187F66DA0}"/>
  </w:font>
  <w:font w:name="微软雅黑">
    <w:panose1 w:val="020B0503020204020204"/>
    <w:charset w:val="86"/>
    <w:family w:val="swiss"/>
    <w:pitch w:val="default"/>
    <w:sig w:usb0="80000287" w:usb1="2ACF3C50" w:usb2="00000016" w:usb3="00000000" w:csb0="0004001F" w:csb1="00000000"/>
    <w:embedRegular r:id="rId5" w:fontKey="{930515D0-DDA6-4271-B37F-E44A4B2C0CF6}"/>
  </w:font>
  <w:font w:name="楷体">
    <w:panose1 w:val="02010609060101010101"/>
    <w:charset w:val="86"/>
    <w:family w:val="modern"/>
    <w:pitch w:val="default"/>
    <w:sig w:usb0="800002BF" w:usb1="38CF7CFA" w:usb2="00000016" w:usb3="00000000" w:csb0="00040001" w:csb1="00000000"/>
    <w:embedRegular r:id="rId6" w:fontKey="{7E2F074E-6F54-45AA-B2FD-2FE4A82F1806}"/>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embedRegular r:id="rId7" w:fontKey="{FBF3AA27-EE55-4AA5-A3E1-33194DB67BBF}"/>
  </w:font>
  <w:font w:name="方正小标宋简体">
    <w:panose1 w:val="02000000000000000000"/>
    <w:charset w:val="86"/>
    <w:family w:val="auto"/>
    <w:pitch w:val="default"/>
    <w:sig w:usb0="00000001" w:usb1="08000000" w:usb2="00000000" w:usb3="00000000" w:csb0="00040000" w:csb1="00000000"/>
    <w:embedRegular r:id="rId8" w:fontKey="{6179435E-F39F-4BE9-BCBC-FB70F1328DCA}"/>
  </w:font>
  <w:font w:name="华文楷体">
    <w:panose1 w:val="02010600040101010101"/>
    <w:charset w:val="86"/>
    <w:family w:val="auto"/>
    <w:pitch w:val="default"/>
    <w:sig w:usb0="00000287" w:usb1="080F0000" w:usb2="00000000" w:usb3="00000000" w:csb0="0004009F" w:csb1="DFD70000"/>
    <w:embedRegular r:id="rId9" w:fontKey="{FE84A50B-F954-4DFE-AA69-1A596A30C704}"/>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D64CF3"/>
    <w:multiLevelType w:val="multilevel"/>
    <w:tmpl w:val="35D64CF3"/>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1">
    <w:nsid w:val="484548D5"/>
    <w:multiLevelType w:val="multilevel"/>
    <w:tmpl w:val="484548D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180607"/>
    <w:rsid w:val="001E2BB2"/>
    <w:rsid w:val="00415C8C"/>
    <w:rsid w:val="00561CAB"/>
    <w:rsid w:val="006B72C4"/>
    <w:rsid w:val="006D180C"/>
    <w:rsid w:val="008269A0"/>
    <w:rsid w:val="00844285"/>
    <w:rsid w:val="008E5346"/>
    <w:rsid w:val="0096582E"/>
    <w:rsid w:val="00A80685"/>
    <w:rsid w:val="00CA7B8A"/>
    <w:rsid w:val="00D941B9"/>
    <w:rsid w:val="014D74F6"/>
    <w:rsid w:val="014E260D"/>
    <w:rsid w:val="015E6DD6"/>
    <w:rsid w:val="028265A2"/>
    <w:rsid w:val="03321D76"/>
    <w:rsid w:val="04675A50"/>
    <w:rsid w:val="048552F8"/>
    <w:rsid w:val="04927F95"/>
    <w:rsid w:val="0568589C"/>
    <w:rsid w:val="072639A0"/>
    <w:rsid w:val="07674CD4"/>
    <w:rsid w:val="08CB0757"/>
    <w:rsid w:val="093B6339"/>
    <w:rsid w:val="09B31D81"/>
    <w:rsid w:val="0A1B5312"/>
    <w:rsid w:val="0A3463D4"/>
    <w:rsid w:val="0AFC028D"/>
    <w:rsid w:val="0B387D00"/>
    <w:rsid w:val="0B892750"/>
    <w:rsid w:val="0C342E56"/>
    <w:rsid w:val="0CC04897"/>
    <w:rsid w:val="0CFB167C"/>
    <w:rsid w:val="0D1D75F3"/>
    <w:rsid w:val="0D6D057B"/>
    <w:rsid w:val="0DAE649D"/>
    <w:rsid w:val="0E99714E"/>
    <w:rsid w:val="0EDF31D7"/>
    <w:rsid w:val="0F2365E1"/>
    <w:rsid w:val="0F4C0664"/>
    <w:rsid w:val="0F884D01"/>
    <w:rsid w:val="0FB22095"/>
    <w:rsid w:val="10376C1E"/>
    <w:rsid w:val="10B361EC"/>
    <w:rsid w:val="11367FFB"/>
    <w:rsid w:val="114B107F"/>
    <w:rsid w:val="116A4DD1"/>
    <w:rsid w:val="11EB4164"/>
    <w:rsid w:val="12F9580B"/>
    <w:rsid w:val="13C133CE"/>
    <w:rsid w:val="13F217DA"/>
    <w:rsid w:val="146401FE"/>
    <w:rsid w:val="14FD189D"/>
    <w:rsid w:val="150712B5"/>
    <w:rsid w:val="15204125"/>
    <w:rsid w:val="15AA4F35"/>
    <w:rsid w:val="162E0AC3"/>
    <w:rsid w:val="16CB2E15"/>
    <w:rsid w:val="178F046A"/>
    <w:rsid w:val="17DA2819"/>
    <w:rsid w:val="18700F1F"/>
    <w:rsid w:val="18AD3F21"/>
    <w:rsid w:val="19342ADC"/>
    <w:rsid w:val="1A204BC7"/>
    <w:rsid w:val="1B572C61"/>
    <w:rsid w:val="1C1222ED"/>
    <w:rsid w:val="1CA8015C"/>
    <w:rsid w:val="1CAD6A29"/>
    <w:rsid w:val="1CE95744"/>
    <w:rsid w:val="1D2D3883"/>
    <w:rsid w:val="1D8611E5"/>
    <w:rsid w:val="1E74728F"/>
    <w:rsid w:val="1EB06519"/>
    <w:rsid w:val="1F226CEB"/>
    <w:rsid w:val="1FF10621"/>
    <w:rsid w:val="206B5C6D"/>
    <w:rsid w:val="209E05F3"/>
    <w:rsid w:val="21573B23"/>
    <w:rsid w:val="22FC1C37"/>
    <w:rsid w:val="23B343B6"/>
    <w:rsid w:val="24764CFC"/>
    <w:rsid w:val="25D35A02"/>
    <w:rsid w:val="26673911"/>
    <w:rsid w:val="269F39F0"/>
    <w:rsid w:val="26BC7A25"/>
    <w:rsid w:val="2708469F"/>
    <w:rsid w:val="27280C17"/>
    <w:rsid w:val="27A76189"/>
    <w:rsid w:val="27B0534F"/>
    <w:rsid w:val="27BB1F96"/>
    <w:rsid w:val="27DD5EA5"/>
    <w:rsid w:val="27FC27CF"/>
    <w:rsid w:val="287D1D75"/>
    <w:rsid w:val="2A9B42F6"/>
    <w:rsid w:val="2AA902C1"/>
    <w:rsid w:val="2AD27817"/>
    <w:rsid w:val="2B520958"/>
    <w:rsid w:val="2B797161"/>
    <w:rsid w:val="2D5E5392"/>
    <w:rsid w:val="2E291E44"/>
    <w:rsid w:val="2E8B21B7"/>
    <w:rsid w:val="2F0D2D38"/>
    <w:rsid w:val="2F5C3B54"/>
    <w:rsid w:val="2F8A2E20"/>
    <w:rsid w:val="2F8F217B"/>
    <w:rsid w:val="301A5EE8"/>
    <w:rsid w:val="31552F50"/>
    <w:rsid w:val="31EB370B"/>
    <w:rsid w:val="3282511C"/>
    <w:rsid w:val="32BA750F"/>
    <w:rsid w:val="32EB3B6C"/>
    <w:rsid w:val="33F86541"/>
    <w:rsid w:val="359E4EC6"/>
    <w:rsid w:val="35D73F34"/>
    <w:rsid w:val="35DC260F"/>
    <w:rsid w:val="35DD52D2"/>
    <w:rsid w:val="3639699D"/>
    <w:rsid w:val="365B0B50"/>
    <w:rsid w:val="36B15804"/>
    <w:rsid w:val="36B838CE"/>
    <w:rsid w:val="36D861B6"/>
    <w:rsid w:val="375810A4"/>
    <w:rsid w:val="37B4019C"/>
    <w:rsid w:val="38B541D6"/>
    <w:rsid w:val="38DB3D3B"/>
    <w:rsid w:val="396830DA"/>
    <w:rsid w:val="39FE23D7"/>
    <w:rsid w:val="3C7A2C29"/>
    <w:rsid w:val="3D2C7F69"/>
    <w:rsid w:val="3D605157"/>
    <w:rsid w:val="3D671B63"/>
    <w:rsid w:val="3D7F2541"/>
    <w:rsid w:val="3DE5170B"/>
    <w:rsid w:val="3ED100BA"/>
    <w:rsid w:val="4013025E"/>
    <w:rsid w:val="40345770"/>
    <w:rsid w:val="40413FA4"/>
    <w:rsid w:val="41913ED7"/>
    <w:rsid w:val="41931657"/>
    <w:rsid w:val="41A079E6"/>
    <w:rsid w:val="42876CE2"/>
    <w:rsid w:val="42CC79D0"/>
    <w:rsid w:val="430067F3"/>
    <w:rsid w:val="43B21B3C"/>
    <w:rsid w:val="44E837F4"/>
    <w:rsid w:val="455351E1"/>
    <w:rsid w:val="458F0387"/>
    <w:rsid w:val="45AD2FC8"/>
    <w:rsid w:val="477E6905"/>
    <w:rsid w:val="47B57E4D"/>
    <w:rsid w:val="48AC1250"/>
    <w:rsid w:val="491D5CAA"/>
    <w:rsid w:val="4ACB0F49"/>
    <w:rsid w:val="4C1E64E2"/>
    <w:rsid w:val="4C334438"/>
    <w:rsid w:val="4D227AB0"/>
    <w:rsid w:val="4E472EFD"/>
    <w:rsid w:val="4EE9450C"/>
    <w:rsid w:val="4F16710E"/>
    <w:rsid w:val="50577CF3"/>
    <w:rsid w:val="51581F75"/>
    <w:rsid w:val="52E35B60"/>
    <w:rsid w:val="53FC752F"/>
    <w:rsid w:val="54372316"/>
    <w:rsid w:val="54A51975"/>
    <w:rsid w:val="54DE4E87"/>
    <w:rsid w:val="55144405"/>
    <w:rsid w:val="55990DAE"/>
    <w:rsid w:val="569752EE"/>
    <w:rsid w:val="569C0B56"/>
    <w:rsid w:val="573F5C03"/>
    <w:rsid w:val="57912A20"/>
    <w:rsid w:val="587358E6"/>
    <w:rsid w:val="58F62864"/>
    <w:rsid w:val="5979517E"/>
    <w:rsid w:val="599F20BC"/>
    <w:rsid w:val="59AB714B"/>
    <w:rsid w:val="59FE5684"/>
    <w:rsid w:val="5A427C66"/>
    <w:rsid w:val="5A4F5EDF"/>
    <w:rsid w:val="5A565E02"/>
    <w:rsid w:val="5AC62645"/>
    <w:rsid w:val="5AEB4F56"/>
    <w:rsid w:val="5B13515F"/>
    <w:rsid w:val="5B64485F"/>
    <w:rsid w:val="5BA22A3F"/>
    <w:rsid w:val="5C6B34A4"/>
    <w:rsid w:val="5C905981"/>
    <w:rsid w:val="5CEB0141"/>
    <w:rsid w:val="5CFD1C22"/>
    <w:rsid w:val="5D262B0B"/>
    <w:rsid w:val="5D957F5E"/>
    <w:rsid w:val="5E930A90"/>
    <w:rsid w:val="5EE25574"/>
    <w:rsid w:val="5F762A0E"/>
    <w:rsid w:val="5FD96977"/>
    <w:rsid w:val="5FDE04AB"/>
    <w:rsid w:val="60180607"/>
    <w:rsid w:val="601D69F8"/>
    <w:rsid w:val="6079467E"/>
    <w:rsid w:val="61E55C1B"/>
    <w:rsid w:val="62092E18"/>
    <w:rsid w:val="626148B3"/>
    <w:rsid w:val="62650996"/>
    <w:rsid w:val="629152E7"/>
    <w:rsid w:val="62BE1E54"/>
    <w:rsid w:val="6353259C"/>
    <w:rsid w:val="646F46AB"/>
    <w:rsid w:val="64850E7B"/>
    <w:rsid w:val="65744A4C"/>
    <w:rsid w:val="657A464B"/>
    <w:rsid w:val="66655263"/>
    <w:rsid w:val="669872A7"/>
    <w:rsid w:val="66F978FF"/>
    <w:rsid w:val="69407A67"/>
    <w:rsid w:val="69575084"/>
    <w:rsid w:val="695C03D4"/>
    <w:rsid w:val="69C42446"/>
    <w:rsid w:val="69EA12F3"/>
    <w:rsid w:val="6A0013D3"/>
    <w:rsid w:val="6A4E61B3"/>
    <w:rsid w:val="6A6634FD"/>
    <w:rsid w:val="6AD030C7"/>
    <w:rsid w:val="6B3709F5"/>
    <w:rsid w:val="6B6277CE"/>
    <w:rsid w:val="6B907367"/>
    <w:rsid w:val="6C411B2C"/>
    <w:rsid w:val="6C515AE7"/>
    <w:rsid w:val="6C9854C4"/>
    <w:rsid w:val="6CFC0D94"/>
    <w:rsid w:val="6D452985"/>
    <w:rsid w:val="6D994300"/>
    <w:rsid w:val="6DCF3167"/>
    <w:rsid w:val="6E250FD9"/>
    <w:rsid w:val="6ED06A62"/>
    <w:rsid w:val="6EE57194"/>
    <w:rsid w:val="6EFC4430"/>
    <w:rsid w:val="6FC565D0"/>
    <w:rsid w:val="6FD1766A"/>
    <w:rsid w:val="703B5596"/>
    <w:rsid w:val="704E2A69"/>
    <w:rsid w:val="71D46F9E"/>
    <w:rsid w:val="72002760"/>
    <w:rsid w:val="72646574"/>
    <w:rsid w:val="72B138CE"/>
    <w:rsid w:val="72C708B1"/>
    <w:rsid w:val="73467A28"/>
    <w:rsid w:val="73DA4614"/>
    <w:rsid w:val="74485A21"/>
    <w:rsid w:val="74624413"/>
    <w:rsid w:val="761738FD"/>
    <w:rsid w:val="776F1793"/>
    <w:rsid w:val="77F263D0"/>
    <w:rsid w:val="780037E6"/>
    <w:rsid w:val="784D1858"/>
    <w:rsid w:val="79083365"/>
    <w:rsid w:val="792702FB"/>
    <w:rsid w:val="79757FC4"/>
    <w:rsid w:val="79BA4CCB"/>
    <w:rsid w:val="7A304F8E"/>
    <w:rsid w:val="7A4161F9"/>
    <w:rsid w:val="7ABE3A6C"/>
    <w:rsid w:val="7BA464AD"/>
    <w:rsid w:val="7C152965"/>
    <w:rsid w:val="7CA35EEB"/>
    <w:rsid w:val="7CAA1027"/>
    <w:rsid w:val="7D8A0E59"/>
    <w:rsid w:val="7D986D63"/>
    <w:rsid w:val="7DAE64D2"/>
    <w:rsid w:val="7DBC3708"/>
    <w:rsid w:val="7DCD1114"/>
    <w:rsid w:val="7E682F48"/>
    <w:rsid w:val="7EB10D93"/>
    <w:rsid w:val="7EFB0260"/>
    <w:rsid w:val="7F865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semiHidden/>
    <w:qFormat/>
    <w:uiPriority w:val="0"/>
    <w:rPr>
      <w:rFonts w:ascii="仿宋" w:hAnsi="仿宋" w:eastAsia="仿宋" w:cs="仿宋"/>
      <w:sz w:val="28"/>
      <w:szCs w:val="28"/>
      <w:lang w:eastAsia="en-US"/>
    </w:rPr>
  </w:style>
  <w:style w:type="paragraph" w:styleId="4">
    <w:name w:val="Balloon Text"/>
    <w:basedOn w:val="1"/>
    <w:link w:val="15"/>
    <w:qFormat/>
    <w:uiPriority w:val="0"/>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240" w:after="60"/>
      <w:jc w:val="center"/>
      <w:outlineLvl w:val="0"/>
    </w:pPr>
    <w:rPr>
      <w:rFonts w:ascii="等线 Light" w:hAnsi="等线 Light" w:eastAsia="等线 Light"/>
      <w:b/>
      <w:bCs/>
      <w:sz w:val="32"/>
      <w:szCs w:val="32"/>
    </w:rPr>
  </w:style>
  <w:style w:type="paragraph" w:styleId="7">
    <w:name w:val="annotation subject"/>
    <w:basedOn w:val="2"/>
    <w:next w:val="2"/>
    <w:link w:val="17"/>
    <w:qFormat/>
    <w:uiPriority w:val="0"/>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annotation reference"/>
    <w:basedOn w:val="10"/>
    <w:qFormat/>
    <w:uiPriority w:val="0"/>
    <w:rPr>
      <w:sz w:val="21"/>
      <w:szCs w:val="21"/>
    </w:rPr>
  </w:style>
  <w:style w:type="paragraph" w:styleId="13">
    <w:name w:val="List Paragraph"/>
    <w:basedOn w:val="1"/>
    <w:qFormat/>
    <w:uiPriority w:val="34"/>
    <w:pPr>
      <w:ind w:firstLine="420" w:firstLineChars="200"/>
    </w:pPr>
  </w:style>
  <w:style w:type="paragraph" w:customStyle="1" w:styleId="1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5">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6">
    <w:name w:val="批注文字 字符"/>
    <w:basedOn w:val="10"/>
    <w:link w:val="2"/>
    <w:qFormat/>
    <w:uiPriority w:val="0"/>
    <w:rPr>
      <w:rFonts w:asciiTheme="minorHAnsi" w:hAnsiTheme="minorHAnsi" w:eastAsiaTheme="minorEastAsia" w:cstheme="minorBidi"/>
      <w:kern w:val="2"/>
      <w:sz w:val="21"/>
      <w:szCs w:val="22"/>
    </w:rPr>
  </w:style>
  <w:style w:type="character" w:customStyle="1" w:styleId="17">
    <w:name w:val="批注主题 字符"/>
    <w:basedOn w:val="16"/>
    <w:link w:val="7"/>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71D92-C60F-4E78-9BC4-C4ED262E081A}">
  <ds:schemaRefs/>
</ds:datastoreItem>
</file>

<file path=docProps/app.xml><?xml version="1.0" encoding="utf-8"?>
<Properties xmlns="http://schemas.openxmlformats.org/officeDocument/2006/extended-properties" xmlns:vt="http://schemas.openxmlformats.org/officeDocument/2006/docPropsVTypes">
  <Template>Normal</Template>
  <Pages>17</Pages>
  <Words>511</Words>
  <Characters>518</Characters>
  <Lines>50</Lines>
  <Paragraphs>14</Paragraphs>
  <TotalTime>0</TotalTime>
  <ScaleCrop>false</ScaleCrop>
  <LinksUpToDate>false</LinksUpToDate>
  <CharactersWithSpaces>524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2025-09-16T06:29:00Z</dcterms:created>
  <dc:creator>R X Y</dc:creator>
  <cp:lastModifiedBy>qsh</cp:lastModifiedBy>
  <cp:lastPrinted>2025-10-11T02:53:00Z</cp:lastPrinted>
  <dcterms:modified xsi:type="dcterms:W3CDTF">2026-08-21T02:22:22Z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B4A2023218CA484F8DA5A5F45CE870CA_13</vt:lpwstr>
  </property>
  <property fmtid="{D5CDD505-2E9C-101B-9397-08002B2CF9AE}" pid="4" name="KSOTemplateDocerSaveRecord">
    <vt:lpwstr>eyJoZGlkIjoiMmJjM2U1ZmNhYTNlZDk1NGFjNjNkNDczNDEyOWI3MDUiLCJ1c2VySWQiOiI3NzIwMjUyMzUifQ==</vt:lpwstr>
  </property>
</Properties>
</file>